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1209" w14:textId="77777777" w:rsidR="0006099A" w:rsidRDefault="0006099A">
      <w:pPr>
        <w:pBdr>
          <w:top w:val="nil"/>
          <w:left w:val="nil"/>
          <w:bottom w:val="nil"/>
          <w:right w:val="nil"/>
          <w:between w:val="nil"/>
        </w:pBdr>
        <w:rPr>
          <w:color w:val="000000"/>
          <w:sz w:val="20"/>
          <w:szCs w:val="20"/>
        </w:rPr>
      </w:pPr>
    </w:p>
    <w:p w14:paraId="1F54C01C" w14:textId="77777777" w:rsidR="0006099A" w:rsidRDefault="0006099A">
      <w:pPr>
        <w:pBdr>
          <w:top w:val="nil"/>
          <w:left w:val="nil"/>
          <w:bottom w:val="nil"/>
          <w:right w:val="nil"/>
          <w:between w:val="nil"/>
        </w:pBdr>
        <w:rPr>
          <w:color w:val="000000"/>
          <w:sz w:val="20"/>
          <w:szCs w:val="20"/>
        </w:rPr>
      </w:pPr>
    </w:p>
    <w:p w14:paraId="32A45637" w14:textId="65399293" w:rsidR="00A02BE0" w:rsidRDefault="00A02BE0" w:rsidP="00A02BE0">
      <w:pPr>
        <w:pStyle w:val="Title"/>
        <w:spacing w:line="276" w:lineRule="auto"/>
        <w:ind w:left="0"/>
        <w:jc w:val="left"/>
      </w:pPr>
      <w:r w:rsidRPr="00A02BE0">
        <w:rPr>
          <w:noProof/>
        </w:rPr>
        <w:drawing>
          <wp:inline distT="0" distB="0" distL="0" distR="0" wp14:anchorId="7754EE45" wp14:editId="5454A3B5">
            <wp:extent cx="6096000" cy="1617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0" cy="1617345"/>
                    </a:xfrm>
                    <a:prstGeom prst="rect">
                      <a:avLst/>
                    </a:prstGeom>
                    <a:noFill/>
                    <a:ln>
                      <a:noFill/>
                    </a:ln>
                  </pic:spPr>
                </pic:pic>
              </a:graphicData>
            </a:graphic>
          </wp:inline>
        </w:drawing>
      </w:r>
    </w:p>
    <w:p w14:paraId="58935542" w14:textId="77777777" w:rsidR="0006099A" w:rsidRDefault="00B85180" w:rsidP="00A02BE0">
      <w:pPr>
        <w:spacing w:line="850" w:lineRule="auto"/>
        <w:ind w:right="160"/>
        <w:rPr>
          <w:b/>
          <w:sz w:val="74"/>
          <w:szCs w:val="74"/>
        </w:rPr>
      </w:pPr>
      <w:r>
        <w:rPr>
          <w:b/>
          <w:sz w:val="74"/>
          <w:szCs w:val="74"/>
          <w:u w:val="single"/>
        </w:rPr>
        <w:t>2022 Legislation Competition</w:t>
      </w:r>
    </w:p>
    <w:p w14:paraId="273A9D52" w14:textId="77777777" w:rsidR="0006099A" w:rsidRDefault="0006099A">
      <w:pPr>
        <w:pBdr>
          <w:top w:val="nil"/>
          <w:left w:val="nil"/>
          <w:bottom w:val="nil"/>
          <w:right w:val="nil"/>
          <w:between w:val="nil"/>
        </w:pBdr>
        <w:rPr>
          <w:b/>
          <w:color w:val="000000"/>
          <w:sz w:val="20"/>
          <w:szCs w:val="20"/>
        </w:rPr>
      </w:pPr>
    </w:p>
    <w:p w14:paraId="0EB20C30" w14:textId="77777777" w:rsidR="0006099A" w:rsidRDefault="0006099A">
      <w:pPr>
        <w:pBdr>
          <w:top w:val="nil"/>
          <w:left w:val="nil"/>
          <w:bottom w:val="nil"/>
          <w:right w:val="nil"/>
          <w:between w:val="nil"/>
        </w:pBdr>
        <w:rPr>
          <w:b/>
          <w:color w:val="000000"/>
          <w:sz w:val="20"/>
          <w:szCs w:val="20"/>
        </w:rPr>
      </w:pPr>
    </w:p>
    <w:p w14:paraId="5F8A4628" w14:textId="77777777" w:rsidR="0006099A" w:rsidRDefault="0006099A">
      <w:pPr>
        <w:pBdr>
          <w:top w:val="nil"/>
          <w:left w:val="nil"/>
          <w:bottom w:val="nil"/>
          <w:right w:val="nil"/>
          <w:between w:val="nil"/>
        </w:pBdr>
        <w:rPr>
          <w:b/>
          <w:color w:val="000000"/>
          <w:sz w:val="20"/>
          <w:szCs w:val="20"/>
        </w:rPr>
      </w:pPr>
    </w:p>
    <w:p w14:paraId="56B259A0" w14:textId="77777777" w:rsidR="0006099A" w:rsidRDefault="0006099A">
      <w:pPr>
        <w:pBdr>
          <w:top w:val="nil"/>
          <w:left w:val="nil"/>
          <w:bottom w:val="nil"/>
          <w:right w:val="nil"/>
          <w:between w:val="nil"/>
        </w:pBdr>
        <w:rPr>
          <w:b/>
          <w:color w:val="000000"/>
          <w:sz w:val="20"/>
          <w:szCs w:val="20"/>
        </w:rPr>
      </w:pPr>
    </w:p>
    <w:p w14:paraId="13253AF3" w14:textId="77777777" w:rsidR="0006099A" w:rsidRDefault="0006099A">
      <w:pPr>
        <w:pBdr>
          <w:top w:val="nil"/>
          <w:left w:val="nil"/>
          <w:bottom w:val="nil"/>
          <w:right w:val="nil"/>
          <w:between w:val="nil"/>
        </w:pBdr>
        <w:rPr>
          <w:b/>
          <w:color w:val="000000"/>
          <w:sz w:val="20"/>
          <w:szCs w:val="20"/>
        </w:rPr>
      </w:pPr>
    </w:p>
    <w:p w14:paraId="16533E5E" w14:textId="77777777" w:rsidR="0006099A" w:rsidRDefault="0006099A">
      <w:pPr>
        <w:pBdr>
          <w:top w:val="nil"/>
          <w:left w:val="nil"/>
          <w:bottom w:val="nil"/>
          <w:right w:val="nil"/>
          <w:between w:val="nil"/>
        </w:pBdr>
        <w:rPr>
          <w:b/>
          <w:color w:val="000000"/>
          <w:sz w:val="20"/>
          <w:szCs w:val="20"/>
        </w:rPr>
      </w:pPr>
    </w:p>
    <w:p w14:paraId="128C5792" w14:textId="77777777" w:rsidR="0006099A" w:rsidRDefault="0006099A">
      <w:pPr>
        <w:pBdr>
          <w:top w:val="nil"/>
          <w:left w:val="nil"/>
          <w:bottom w:val="nil"/>
          <w:right w:val="nil"/>
          <w:between w:val="nil"/>
        </w:pBdr>
        <w:rPr>
          <w:b/>
          <w:color w:val="000000"/>
          <w:sz w:val="20"/>
          <w:szCs w:val="20"/>
        </w:rPr>
      </w:pPr>
    </w:p>
    <w:p w14:paraId="2D083117" w14:textId="77777777" w:rsidR="0006099A" w:rsidRDefault="0006099A">
      <w:pPr>
        <w:pBdr>
          <w:top w:val="nil"/>
          <w:left w:val="nil"/>
          <w:bottom w:val="nil"/>
          <w:right w:val="nil"/>
          <w:between w:val="nil"/>
        </w:pBdr>
        <w:spacing w:before="11"/>
        <w:rPr>
          <w:b/>
          <w:color w:val="000000"/>
          <w:sz w:val="15"/>
          <w:szCs w:val="15"/>
        </w:rPr>
      </w:pPr>
    </w:p>
    <w:p w14:paraId="2E5009E9" w14:textId="77777777" w:rsidR="0006099A" w:rsidRDefault="0006099A">
      <w:pPr>
        <w:spacing w:before="75"/>
        <w:ind w:left="113" w:right="156"/>
        <w:jc w:val="center"/>
        <w:rPr>
          <w:sz w:val="44"/>
          <w:szCs w:val="44"/>
        </w:rPr>
      </w:pPr>
    </w:p>
    <w:p w14:paraId="4F98FF38" w14:textId="77777777" w:rsidR="0006099A" w:rsidRDefault="0006099A">
      <w:pPr>
        <w:pBdr>
          <w:top w:val="nil"/>
          <w:left w:val="nil"/>
          <w:bottom w:val="nil"/>
          <w:right w:val="nil"/>
          <w:between w:val="nil"/>
        </w:pBdr>
        <w:spacing w:before="3"/>
        <w:jc w:val="center"/>
        <w:rPr>
          <w:color w:val="000000"/>
          <w:sz w:val="57"/>
          <w:szCs w:val="57"/>
        </w:rPr>
      </w:pPr>
    </w:p>
    <w:p w14:paraId="3B83DD70" w14:textId="77777777" w:rsidR="0006099A" w:rsidRDefault="00B85180">
      <w:pPr>
        <w:pStyle w:val="Heading2"/>
        <w:spacing w:line="276" w:lineRule="auto"/>
        <w:ind w:left="1901" w:right="1943"/>
        <w:sectPr w:rsidR="0006099A">
          <w:pgSz w:w="12240" w:h="15840"/>
          <w:pgMar w:top="1500" w:right="1300" w:bottom="280" w:left="1340" w:header="720" w:footer="720" w:gutter="0"/>
          <w:pgNumType w:start="1"/>
          <w:cols w:space="720"/>
        </w:sectPr>
      </w:pPr>
      <w:r>
        <w:t>Due Date: Friday, March 25th 11:59 PM EST</w:t>
      </w:r>
    </w:p>
    <w:p w14:paraId="4CD2E036" w14:textId="77777777" w:rsidR="0006099A" w:rsidRDefault="00B85180">
      <w:pPr>
        <w:pStyle w:val="Heading3"/>
        <w:ind w:right="149" w:firstLine="113"/>
        <w:rPr>
          <w:u w:val="none"/>
        </w:rPr>
      </w:pPr>
      <w:r>
        <w:lastRenderedPageBreak/>
        <w:t>PROMPT</w:t>
      </w:r>
    </w:p>
    <w:p w14:paraId="50F05F3E" w14:textId="77777777" w:rsidR="0006099A" w:rsidRDefault="0006099A">
      <w:pPr>
        <w:pBdr>
          <w:top w:val="nil"/>
          <w:left w:val="nil"/>
          <w:bottom w:val="nil"/>
          <w:right w:val="nil"/>
          <w:between w:val="nil"/>
        </w:pBdr>
        <w:spacing w:before="6"/>
        <w:rPr>
          <w:b/>
          <w:color w:val="000000"/>
          <w:sz w:val="20"/>
          <w:szCs w:val="20"/>
        </w:rPr>
      </w:pPr>
    </w:p>
    <w:p w14:paraId="3082AF62" w14:textId="77777777" w:rsidR="0006099A" w:rsidRDefault="00B85180">
      <w:pPr>
        <w:pBdr>
          <w:top w:val="nil"/>
          <w:left w:val="nil"/>
          <w:bottom w:val="nil"/>
          <w:right w:val="nil"/>
          <w:between w:val="nil"/>
        </w:pBdr>
        <w:ind w:right="254"/>
        <w:rPr>
          <w:color w:val="000000"/>
        </w:rPr>
      </w:pPr>
      <w:r>
        <w:rPr>
          <w:color w:val="000000"/>
        </w:rPr>
        <w:t xml:space="preserve">In the Supreme Court’s unanimous decision in </w:t>
      </w:r>
      <w:hyperlink r:id="rId7">
        <w:r>
          <w:rPr>
            <w:i/>
            <w:color w:val="1155CC"/>
            <w:u w:val="single"/>
          </w:rPr>
          <w:t>NCAA v. Alston</w:t>
        </w:r>
      </w:hyperlink>
      <w:r>
        <w:rPr>
          <w:i/>
          <w:color w:val="000000"/>
        </w:rPr>
        <w:t xml:space="preserve">, </w:t>
      </w:r>
      <w:r>
        <w:rPr>
          <w:color w:val="000000"/>
        </w:rPr>
        <w:t>the</w:t>
      </w:r>
      <w:r>
        <w:t xml:space="preserve"> Court held the NCAA’s </w:t>
      </w:r>
      <w:proofErr w:type="gramStart"/>
      <w:r>
        <w:t>rules  restricting</w:t>
      </w:r>
      <w:proofErr w:type="gramEnd"/>
      <w:r>
        <w:t xml:space="preserve"> certain education-related benefits for student-athletes violated federal antitrust laws.</w:t>
      </w:r>
      <w:r>
        <w:rPr>
          <w:color w:val="000000"/>
        </w:rPr>
        <w:t xml:space="preserve"> In </w:t>
      </w:r>
      <w:r>
        <w:t xml:space="preserve">his </w:t>
      </w:r>
      <w:r>
        <w:rPr>
          <w:color w:val="000000"/>
        </w:rPr>
        <w:t>concurrence, Justice Kavanaugh wrote, “Traditions alone cannot justify the NCAA’s decision to build a massive money-ra</w:t>
      </w:r>
      <w:r>
        <w:rPr>
          <w:color w:val="000000"/>
        </w:rPr>
        <w:t xml:space="preserve">ising enterprise on the backs of student athletes who are not </w:t>
      </w:r>
      <w:proofErr w:type="gramStart"/>
      <w:r>
        <w:rPr>
          <w:color w:val="000000"/>
        </w:rPr>
        <w:t>fairly compensated</w:t>
      </w:r>
      <w:proofErr w:type="gramEnd"/>
      <w:r>
        <w:rPr>
          <w:color w:val="000000"/>
        </w:rPr>
        <w:t>. Nowhere else in America can businesses get away with agreeing not to pay their workers a fair market rate on the theory that their product is defined by not paying their work</w:t>
      </w:r>
      <w:r>
        <w:rPr>
          <w:color w:val="000000"/>
        </w:rPr>
        <w:t xml:space="preserve">ers a fair market rate.” The Court’s decision did not directly address </w:t>
      </w:r>
      <w:r>
        <w:t xml:space="preserve">the NCAA’s historic ban on the licensing of students’ name, image, and likeness, but it </w:t>
      </w:r>
      <w:r>
        <w:rPr>
          <w:color w:val="000000"/>
        </w:rPr>
        <w:t xml:space="preserve">laid the groundwork for a sea-change in the balance of power between student athletes and </w:t>
      </w:r>
      <w:r>
        <w:t>univers</w:t>
      </w:r>
      <w:r>
        <w:t>ities.</w:t>
      </w:r>
      <w:r>
        <w:rPr>
          <w:color w:val="000000"/>
        </w:rPr>
        <w:t xml:space="preserve"> </w:t>
      </w:r>
    </w:p>
    <w:p w14:paraId="208EFE9F" w14:textId="77777777" w:rsidR="0006099A" w:rsidRDefault="0006099A">
      <w:pPr>
        <w:pBdr>
          <w:top w:val="nil"/>
          <w:left w:val="nil"/>
          <w:bottom w:val="nil"/>
          <w:right w:val="nil"/>
          <w:between w:val="nil"/>
        </w:pBdr>
        <w:ind w:right="259"/>
        <w:rPr>
          <w:color w:val="000000"/>
        </w:rPr>
      </w:pPr>
    </w:p>
    <w:p w14:paraId="28CAE032" w14:textId="77777777" w:rsidR="0006099A" w:rsidRDefault="00B85180">
      <w:pPr>
        <w:pBdr>
          <w:top w:val="nil"/>
          <w:left w:val="nil"/>
          <w:bottom w:val="nil"/>
          <w:right w:val="nil"/>
          <w:between w:val="nil"/>
        </w:pBdr>
        <w:ind w:right="259"/>
        <w:rPr>
          <w:color w:val="000000"/>
        </w:rPr>
      </w:pPr>
      <w:r>
        <w:rPr>
          <w:color w:val="000000"/>
        </w:rPr>
        <w:t>In parallel with this decision, several legislators have advanced their own visions for how a more equitable compensation scheme might work. These visions, and the proposed pieces of legislation that accompany them, vary widely, and each come with their ow</w:t>
      </w:r>
      <w:r>
        <w:rPr>
          <w:color w:val="000000"/>
        </w:rPr>
        <w:t>n balances of concerns and equities.</w:t>
      </w:r>
    </w:p>
    <w:p w14:paraId="0A07AE1E" w14:textId="77777777" w:rsidR="0006099A" w:rsidRDefault="0006099A">
      <w:pPr>
        <w:pBdr>
          <w:top w:val="nil"/>
          <w:left w:val="nil"/>
          <w:bottom w:val="nil"/>
          <w:right w:val="nil"/>
          <w:between w:val="nil"/>
        </w:pBdr>
        <w:ind w:right="259"/>
        <w:rPr>
          <w:color w:val="000000"/>
        </w:rPr>
      </w:pPr>
    </w:p>
    <w:p w14:paraId="63AF611B" w14:textId="77777777" w:rsidR="0006099A" w:rsidRDefault="00B85180">
      <w:pPr>
        <w:numPr>
          <w:ilvl w:val="0"/>
          <w:numId w:val="2"/>
        </w:numPr>
        <w:pBdr>
          <w:top w:val="nil"/>
          <w:left w:val="nil"/>
          <w:bottom w:val="nil"/>
          <w:right w:val="nil"/>
          <w:between w:val="nil"/>
        </w:pBdr>
        <w:ind w:left="360" w:right="254" w:hanging="360"/>
      </w:pPr>
      <w:hyperlink r:id="rId8">
        <w:r>
          <w:rPr>
            <w:color w:val="0000FF"/>
            <w:u w:val="single"/>
          </w:rPr>
          <w:t>The College Athletes Bill of Rights</w:t>
        </w:r>
      </w:hyperlink>
      <w:r>
        <w:rPr>
          <w:color w:val="000000"/>
        </w:rPr>
        <w:t xml:space="preserve"> </w:t>
      </w:r>
    </w:p>
    <w:p w14:paraId="5A2D2917" w14:textId="77777777" w:rsidR="0006099A" w:rsidRDefault="0006099A">
      <w:pPr>
        <w:pBdr>
          <w:top w:val="nil"/>
          <w:left w:val="nil"/>
          <w:bottom w:val="nil"/>
          <w:right w:val="nil"/>
          <w:between w:val="nil"/>
        </w:pBdr>
        <w:ind w:left="360" w:right="254"/>
        <w:rPr>
          <w:color w:val="000000"/>
        </w:rPr>
      </w:pPr>
    </w:p>
    <w:p w14:paraId="118E40DC" w14:textId="77777777" w:rsidR="0006099A" w:rsidRDefault="00B85180">
      <w:pPr>
        <w:pBdr>
          <w:top w:val="nil"/>
          <w:left w:val="nil"/>
          <w:bottom w:val="nil"/>
          <w:right w:val="nil"/>
          <w:between w:val="nil"/>
        </w:pBdr>
        <w:ind w:right="254"/>
        <w:rPr>
          <w:color w:val="000000"/>
        </w:rPr>
      </w:pPr>
      <w:r>
        <w:rPr>
          <w:color w:val="000000"/>
        </w:rPr>
        <w:t xml:space="preserve">Introduced by New Jersey Senator Cory Booker in December 2020, the College Athletes Bill of Rights seeks to reshape college sports and the compensation of athletes by, among other things, prohibiting colleges or the NCAA from restricting a college athlete </w:t>
      </w:r>
      <w:r>
        <w:rPr>
          <w:color w:val="000000"/>
        </w:rPr>
        <w:t xml:space="preserve">to market their name, </w:t>
      </w:r>
      <w:proofErr w:type="gramStart"/>
      <w:r>
        <w:rPr>
          <w:color w:val="000000"/>
        </w:rPr>
        <w:t>image</w:t>
      </w:r>
      <w:proofErr w:type="gramEnd"/>
      <w:r>
        <w:rPr>
          <w:color w:val="000000"/>
        </w:rPr>
        <w:t xml:space="preserve"> and likeness (NIL), setting up a commission to regulate the industry, giving the CDC authority to address health concerns, and establishing a revenue sharing and royalty payment system. </w:t>
      </w:r>
    </w:p>
    <w:p w14:paraId="195AE1CF" w14:textId="77777777" w:rsidR="0006099A" w:rsidRDefault="0006099A">
      <w:pPr>
        <w:pBdr>
          <w:top w:val="nil"/>
          <w:left w:val="nil"/>
          <w:bottom w:val="nil"/>
          <w:right w:val="nil"/>
          <w:between w:val="nil"/>
        </w:pBdr>
        <w:ind w:right="254"/>
        <w:rPr>
          <w:color w:val="000000"/>
        </w:rPr>
      </w:pPr>
    </w:p>
    <w:p w14:paraId="4E958A48" w14:textId="77777777" w:rsidR="0006099A" w:rsidRDefault="00B85180">
      <w:pPr>
        <w:numPr>
          <w:ilvl w:val="0"/>
          <w:numId w:val="2"/>
        </w:numPr>
        <w:pBdr>
          <w:top w:val="nil"/>
          <w:left w:val="nil"/>
          <w:bottom w:val="nil"/>
          <w:right w:val="nil"/>
          <w:between w:val="nil"/>
        </w:pBdr>
        <w:ind w:left="360" w:right="254" w:hanging="360"/>
      </w:pPr>
      <w:hyperlink r:id="rId9">
        <w:r>
          <w:rPr>
            <w:color w:val="0000FF"/>
            <w:u w:val="single"/>
          </w:rPr>
          <w:t>The College Athletic Economic Freedom Act</w:t>
        </w:r>
      </w:hyperlink>
    </w:p>
    <w:p w14:paraId="59E6BBF4" w14:textId="77777777" w:rsidR="0006099A" w:rsidRDefault="0006099A">
      <w:pPr>
        <w:pBdr>
          <w:top w:val="nil"/>
          <w:left w:val="nil"/>
          <w:bottom w:val="nil"/>
          <w:right w:val="nil"/>
          <w:between w:val="nil"/>
        </w:pBdr>
        <w:ind w:left="360" w:right="254"/>
        <w:rPr>
          <w:color w:val="000000"/>
        </w:rPr>
      </w:pPr>
    </w:p>
    <w:p w14:paraId="03C56AA4" w14:textId="77777777" w:rsidR="0006099A" w:rsidRDefault="00B85180">
      <w:pPr>
        <w:pBdr>
          <w:top w:val="nil"/>
          <w:left w:val="nil"/>
          <w:bottom w:val="nil"/>
          <w:right w:val="nil"/>
          <w:between w:val="nil"/>
        </w:pBdr>
        <w:ind w:right="254"/>
        <w:rPr>
          <w:color w:val="000000"/>
        </w:rPr>
      </w:pPr>
      <w:r>
        <w:t>Introduced</w:t>
      </w:r>
      <w:r>
        <w:rPr>
          <w:color w:val="000000"/>
        </w:rPr>
        <w:t xml:space="preserve"> by Connecticut Senator Chris Murphy of Connecticut and Mass</w:t>
      </w:r>
      <w:r>
        <w:rPr>
          <w:color w:val="000000"/>
        </w:rPr>
        <w:t>achusetts Representative Lori Trahan, The College Athletic Economic Freedom Act “[establishes] a federal right for college athletes to market the use of their name, image, likeness, or athletic reputation – individually and as a group – by prohibiting coll</w:t>
      </w:r>
      <w:r>
        <w:rPr>
          <w:color w:val="000000"/>
        </w:rPr>
        <w:t xml:space="preserve">eges, conferences, and the NCAA from setting or enforcing rules that restrict this right or otherwise colluding to limit how athletes can use their NIL, including by setting rules restricting this right for prospective college athletes.” </w:t>
      </w:r>
    </w:p>
    <w:p w14:paraId="4798D7BD" w14:textId="77777777" w:rsidR="0006099A" w:rsidRDefault="0006099A">
      <w:pPr>
        <w:pBdr>
          <w:top w:val="nil"/>
          <w:left w:val="nil"/>
          <w:bottom w:val="nil"/>
          <w:right w:val="nil"/>
          <w:between w:val="nil"/>
        </w:pBdr>
        <w:ind w:right="254"/>
        <w:rPr>
          <w:color w:val="000000"/>
        </w:rPr>
      </w:pPr>
    </w:p>
    <w:p w14:paraId="4D995669" w14:textId="77777777" w:rsidR="0006099A" w:rsidRDefault="00B85180">
      <w:pPr>
        <w:numPr>
          <w:ilvl w:val="0"/>
          <w:numId w:val="2"/>
        </w:numPr>
        <w:pBdr>
          <w:top w:val="nil"/>
          <w:left w:val="nil"/>
          <w:bottom w:val="nil"/>
          <w:right w:val="nil"/>
          <w:between w:val="nil"/>
        </w:pBdr>
        <w:ind w:left="360" w:right="254" w:hanging="360"/>
        <w:rPr>
          <w:color w:val="000000"/>
        </w:rPr>
      </w:pPr>
      <w:r>
        <w:rPr>
          <w:color w:val="000000"/>
        </w:rPr>
        <w:t xml:space="preserve"> </w:t>
      </w:r>
      <w:hyperlink r:id="rId10">
        <w:r>
          <w:rPr>
            <w:color w:val="0000FF"/>
            <w:u w:val="single"/>
          </w:rPr>
          <w:t>College Athlete Right to Organize Act</w:t>
        </w:r>
      </w:hyperlink>
    </w:p>
    <w:p w14:paraId="0E94D170" w14:textId="77777777" w:rsidR="0006099A" w:rsidRDefault="0006099A">
      <w:pPr>
        <w:pBdr>
          <w:top w:val="nil"/>
          <w:left w:val="nil"/>
          <w:bottom w:val="nil"/>
          <w:right w:val="nil"/>
          <w:between w:val="nil"/>
        </w:pBdr>
        <w:ind w:left="360" w:right="254"/>
        <w:rPr>
          <w:color w:val="000000"/>
        </w:rPr>
      </w:pPr>
    </w:p>
    <w:p w14:paraId="7E33809D" w14:textId="77777777" w:rsidR="0006099A" w:rsidRDefault="00B85180">
      <w:pPr>
        <w:pBdr>
          <w:top w:val="nil"/>
          <w:left w:val="nil"/>
          <w:bottom w:val="nil"/>
          <w:right w:val="nil"/>
          <w:between w:val="nil"/>
        </w:pBdr>
        <w:ind w:right="254"/>
        <w:rPr>
          <w:color w:val="000000"/>
        </w:rPr>
      </w:pPr>
      <w:r>
        <w:t>Also introduced</w:t>
      </w:r>
      <w:r>
        <w:rPr>
          <w:color w:val="000000"/>
        </w:rPr>
        <w:t xml:space="preserve"> by Senator Murphy, along with Vermont Senator Bernie Sanders, the College Athlete Right to Organize Act </w:t>
      </w:r>
      <w:r>
        <w:t>establishes</w:t>
      </w:r>
      <w:r>
        <w:rPr>
          <w:color w:val="000000"/>
        </w:rPr>
        <w:t xml:space="preserve"> c</w:t>
      </w:r>
      <w:r>
        <w:rPr>
          <w:color w:val="000000"/>
        </w:rPr>
        <w:t xml:space="preserve">ollective bargaining rights for college athletes, requiring the National Labor Relations Board to incorporate college athletes into the body of labor law. </w:t>
      </w:r>
    </w:p>
    <w:p w14:paraId="18D9F974" w14:textId="77777777" w:rsidR="0006099A" w:rsidRDefault="0006099A">
      <w:pPr>
        <w:pBdr>
          <w:top w:val="nil"/>
          <w:left w:val="nil"/>
          <w:bottom w:val="nil"/>
          <w:right w:val="nil"/>
          <w:between w:val="nil"/>
        </w:pBdr>
        <w:rPr>
          <w:color w:val="000000"/>
        </w:rPr>
      </w:pPr>
    </w:p>
    <w:p w14:paraId="7D4398B3" w14:textId="77777777" w:rsidR="0006099A" w:rsidRDefault="00B85180">
      <w:pPr>
        <w:pBdr>
          <w:top w:val="nil"/>
          <w:left w:val="nil"/>
          <w:bottom w:val="nil"/>
          <w:right w:val="nil"/>
          <w:between w:val="nil"/>
        </w:pBdr>
        <w:jc w:val="center"/>
        <w:rPr>
          <w:b/>
          <w:color w:val="000000"/>
          <w:u w:val="single"/>
        </w:rPr>
      </w:pPr>
      <w:r>
        <w:rPr>
          <w:b/>
          <w:color w:val="000000"/>
          <w:u w:val="single"/>
        </w:rPr>
        <w:t>Assignment</w:t>
      </w:r>
    </w:p>
    <w:p w14:paraId="254608C2" w14:textId="77777777" w:rsidR="0006099A" w:rsidRDefault="0006099A">
      <w:pPr>
        <w:pBdr>
          <w:top w:val="nil"/>
          <w:left w:val="nil"/>
          <w:bottom w:val="nil"/>
          <w:right w:val="nil"/>
          <w:between w:val="nil"/>
        </w:pBdr>
        <w:rPr>
          <w:color w:val="000000"/>
          <w:sz w:val="25"/>
          <w:szCs w:val="25"/>
        </w:rPr>
      </w:pPr>
    </w:p>
    <w:p w14:paraId="0ACACC87" w14:textId="705F2E12" w:rsidR="0006099A" w:rsidRDefault="00B85180">
      <w:pPr>
        <w:pBdr>
          <w:top w:val="nil"/>
          <w:left w:val="nil"/>
          <w:bottom w:val="nil"/>
          <w:right w:val="nil"/>
          <w:between w:val="nil"/>
        </w:pBdr>
        <w:rPr>
          <w:color w:val="000000"/>
        </w:rPr>
        <w:sectPr w:rsidR="0006099A">
          <w:pgSz w:w="12240" w:h="15840"/>
          <w:pgMar w:top="1360" w:right="1300" w:bottom="280" w:left="1340" w:header="720" w:footer="720" w:gutter="0"/>
          <w:cols w:space="720"/>
        </w:sectPr>
      </w:pPr>
      <w:r>
        <w:rPr>
          <w:color w:val="000000"/>
        </w:rPr>
        <w:t xml:space="preserve">For your submission, please compare and analyze </w:t>
      </w:r>
      <w:hyperlink r:id="rId11">
        <w:r>
          <w:rPr>
            <w:color w:val="0000FF"/>
            <w:u w:val="single"/>
          </w:rPr>
          <w:t>The College Athletes Bill of Rights</w:t>
        </w:r>
      </w:hyperlink>
      <w:r>
        <w:rPr>
          <w:color w:val="000000"/>
        </w:rPr>
        <w:t xml:space="preserve"> to </w:t>
      </w:r>
      <w:r>
        <w:t>either</w:t>
      </w:r>
      <w:r>
        <w:rPr>
          <w:color w:val="000000"/>
        </w:rPr>
        <w:t xml:space="preserve"> </w:t>
      </w:r>
      <w:hyperlink r:id="rId12">
        <w:r>
          <w:rPr>
            <w:color w:val="0000FF"/>
            <w:u w:val="single"/>
          </w:rPr>
          <w:t>The College Athlete Economic Freedom Act</w:t>
        </w:r>
      </w:hyperlink>
      <w:r>
        <w:t xml:space="preserve"> or</w:t>
      </w:r>
      <w:r>
        <w:rPr>
          <w:color w:val="000000"/>
        </w:rPr>
        <w:t xml:space="preserve"> </w:t>
      </w:r>
      <w:hyperlink r:id="rId13">
        <w:r>
          <w:rPr>
            <w:color w:val="0000FF"/>
            <w:u w:val="single"/>
          </w:rPr>
          <w:t>The College Athlete Right To Organize Act</w:t>
        </w:r>
      </w:hyperlink>
      <w:r>
        <w:rPr>
          <w:b/>
        </w:rPr>
        <w:t>,</w:t>
      </w:r>
      <w:r>
        <w:t xml:space="preserve"> or compare the first to both of the latter in tandem</w:t>
      </w:r>
      <w:r>
        <w:rPr>
          <w:color w:val="000000"/>
        </w:rPr>
        <w:t xml:space="preserve">. In your analysis, please </w:t>
      </w:r>
      <w:r>
        <w:t>feel free to focus on only one or a handful of major issues, and do not dwell on covering ev</w:t>
      </w:r>
      <w:r>
        <w:t>ery point of analysis if doing so would not be pertinent to your argument</w:t>
      </w:r>
      <w:r>
        <w:rPr>
          <w:color w:val="000000"/>
        </w:rPr>
        <w:t xml:space="preserve">. Additionally, you are welcome to </w:t>
      </w:r>
      <w:r w:rsidR="00D65496">
        <w:rPr>
          <w:color w:val="000000"/>
        </w:rPr>
        <w:t>propose</w:t>
      </w:r>
      <w:r>
        <w:rPr>
          <w:color w:val="000000"/>
        </w:rPr>
        <w:t xml:space="preserve"> amendments or changes that you would make to any of the proposed bills</w:t>
      </w:r>
      <w:r>
        <w:rPr>
          <w:color w:val="000000"/>
        </w:rPr>
        <w:t>. Papers should take the form of</w:t>
      </w:r>
      <w:r>
        <w:rPr>
          <w:color w:val="000000"/>
        </w:rPr>
        <w:t xml:space="preserve"> an essay, </w:t>
      </w:r>
      <w:r>
        <w:rPr>
          <w:i/>
          <w:color w:val="000000"/>
        </w:rPr>
        <w:t xml:space="preserve">not </w:t>
      </w:r>
      <w:r>
        <w:rPr>
          <w:color w:val="000000"/>
        </w:rPr>
        <w:t>a piece of legislation. You need not limit yourself to legal analysis; you may also consider relevant political, social, or policy questions.</w:t>
      </w:r>
    </w:p>
    <w:p w14:paraId="2115068D" w14:textId="77777777" w:rsidR="0006099A" w:rsidRDefault="00B85180">
      <w:pPr>
        <w:pStyle w:val="Heading3"/>
        <w:ind w:firstLine="113"/>
        <w:rPr>
          <w:u w:val="none"/>
        </w:rPr>
      </w:pPr>
      <w:r>
        <w:lastRenderedPageBreak/>
        <w:t>RULES FOR SUBMISSION</w:t>
      </w:r>
    </w:p>
    <w:p w14:paraId="3EA908D8" w14:textId="77777777" w:rsidR="0006099A" w:rsidRDefault="0006099A">
      <w:pPr>
        <w:pBdr>
          <w:top w:val="nil"/>
          <w:left w:val="nil"/>
          <w:bottom w:val="nil"/>
          <w:right w:val="nil"/>
          <w:between w:val="nil"/>
        </w:pBdr>
        <w:spacing w:before="6"/>
        <w:rPr>
          <w:b/>
          <w:color w:val="000000"/>
          <w:sz w:val="20"/>
          <w:szCs w:val="20"/>
        </w:rPr>
      </w:pPr>
    </w:p>
    <w:p w14:paraId="75C51417" w14:textId="77777777" w:rsidR="0006099A" w:rsidRDefault="00B85180">
      <w:pPr>
        <w:numPr>
          <w:ilvl w:val="0"/>
          <w:numId w:val="1"/>
        </w:numPr>
        <w:pBdr>
          <w:top w:val="nil"/>
          <w:left w:val="nil"/>
          <w:bottom w:val="nil"/>
          <w:right w:val="nil"/>
          <w:between w:val="nil"/>
        </w:pBdr>
        <w:tabs>
          <w:tab w:val="left" w:pos="820"/>
          <w:tab w:val="left" w:pos="821"/>
        </w:tabs>
        <w:spacing w:before="91" w:line="280" w:lineRule="auto"/>
        <w:ind w:right="240"/>
      </w:pPr>
      <w:r>
        <w:rPr>
          <w:color w:val="000000"/>
        </w:rPr>
        <w:t>The Legislation Competition is open to both individuals and teams of up to 3 members. If a team wins, prizes will be split among the teammates.</w:t>
      </w:r>
    </w:p>
    <w:p w14:paraId="24A0BD74" w14:textId="77777777" w:rsidR="0006099A" w:rsidRDefault="00B85180">
      <w:pPr>
        <w:numPr>
          <w:ilvl w:val="0"/>
          <w:numId w:val="1"/>
        </w:numPr>
        <w:pBdr>
          <w:top w:val="nil"/>
          <w:left w:val="nil"/>
          <w:bottom w:val="nil"/>
          <w:right w:val="nil"/>
          <w:between w:val="nil"/>
        </w:pBdr>
        <w:tabs>
          <w:tab w:val="left" w:pos="820"/>
          <w:tab w:val="left" w:pos="821"/>
        </w:tabs>
        <w:spacing w:line="276" w:lineRule="auto"/>
        <w:ind w:right="137" w:hanging="546"/>
        <w:rPr>
          <w:rFonts w:ascii="Arial MT" w:eastAsia="Arial MT" w:hAnsi="Arial MT" w:cs="Arial MT"/>
          <w:color w:val="000000"/>
        </w:rPr>
      </w:pPr>
      <w:r>
        <w:rPr>
          <w:color w:val="000000"/>
        </w:rPr>
        <w:t xml:space="preserve">Your response paper should be </w:t>
      </w:r>
      <w:r>
        <w:rPr>
          <w:b/>
          <w:color w:val="000000"/>
        </w:rPr>
        <w:t>no longer than 1500 words</w:t>
      </w:r>
      <w:r>
        <w:rPr>
          <w:color w:val="000000"/>
        </w:rPr>
        <w:t>. We understand that this means you may not be able to ad</w:t>
      </w:r>
      <w:r>
        <w:rPr>
          <w:color w:val="000000"/>
        </w:rPr>
        <w:t>dress every facet of your idea; that’s okay. We prefer clarity of analysis over breadth of analysis.</w:t>
      </w:r>
    </w:p>
    <w:p w14:paraId="4590D1CC" w14:textId="77777777" w:rsidR="0006099A" w:rsidRDefault="00B85180">
      <w:pPr>
        <w:numPr>
          <w:ilvl w:val="0"/>
          <w:numId w:val="1"/>
        </w:numPr>
        <w:pBdr>
          <w:top w:val="nil"/>
          <w:left w:val="nil"/>
          <w:bottom w:val="nil"/>
          <w:right w:val="nil"/>
          <w:between w:val="nil"/>
        </w:pBdr>
        <w:tabs>
          <w:tab w:val="left" w:pos="820"/>
          <w:tab w:val="left" w:pos="821"/>
        </w:tabs>
        <w:spacing w:line="250" w:lineRule="auto"/>
        <w:ind w:hanging="636"/>
      </w:pPr>
      <w:r>
        <w:rPr>
          <w:color w:val="000000"/>
        </w:rPr>
        <w:t xml:space="preserve">Outside research is recommended, and citations should be </w:t>
      </w:r>
      <w:proofErr w:type="spellStart"/>
      <w:r>
        <w:rPr>
          <w:color w:val="000000"/>
        </w:rPr>
        <w:t>bluebooked</w:t>
      </w:r>
      <w:proofErr w:type="spellEnd"/>
      <w:r>
        <w:rPr>
          <w:color w:val="000000"/>
        </w:rPr>
        <w:t>.</w:t>
      </w:r>
    </w:p>
    <w:p w14:paraId="5FCD63F6" w14:textId="204DA613" w:rsidR="0006099A" w:rsidRDefault="00B85180">
      <w:pPr>
        <w:numPr>
          <w:ilvl w:val="0"/>
          <w:numId w:val="1"/>
        </w:numPr>
        <w:pBdr>
          <w:top w:val="nil"/>
          <w:left w:val="nil"/>
          <w:bottom w:val="nil"/>
          <w:right w:val="nil"/>
          <w:between w:val="nil"/>
        </w:pBdr>
        <w:tabs>
          <w:tab w:val="left" w:pos="820"/>
          <w:tab w:val="left" w:pos="821"/>
        </w:tabs>
        <w:spacing w:before="34" w:line="276" w:lineRule="auto"/>
        <w:ind w:right="496" w:hanging="631"/>
        <w:rPr>
          <w:rFonts w:ascii="Arial MT" w:eastAsia="Arial MT" w:hAnsi="Arial MT" w:cs="Arial MT"/>
          <w:color w:val="000000"/>
        </w:rPr>
      </w:pPr>
      <w:r>
        <w:rPr>
          <w:color w:val="000000"/>
        </w:rPr>
        <w:t xml:space="preserve">Responses are due on </w:t>
      </w:r>
      <w:r>
        <w:rPr>
          <w:b/>
          <w:color w:val="000000"/>
        </w:rPr>
        <w:t xml:space="preserve">Friday, March 25th, </w:t>
      </w:r>
      <w:proofErr w:type="gramStart"/>
      <w:r>
        <w:rPr>
          <w:b/>
          <w:color w:val="000000"/>
        </w:rPr>
        <w:t>2022</w:t>
      </w:r>
      <w:proofErr w:type="gramEnd"/>
      <w:r>
        <w:rPr>
          <w:b/>
          <w:color w:val="000000"/>
        </w:rPr>
        <w:t xml:space="preserve"> at 11:59 pm Eastern Standard Time</w:t>
      </w:r>
      <w:r>
        <w:rPr>
          <w:color w:val="000000"/>
        </w:rPr>
        <w:t xml:space="preserve">. Please submit your response </w:t>
      </w:r>
      <w:r w:rsidR="00D65496">
        <w:rPr>
          <w:color w:val="000000"/>
        </w:rPr>
        <w:t xml:space="preserve">paper </w:t>
      </w:r>
      <w:r>
        <w:rPr>
          <w:color w:val="000000"/>
        </w:rPr>
        <w:t>to</w:t>
      </w:r>
      <w:r>
        <w:rPr>
          <w:color w:val="1154CC"/>
        </w:rPr>
        <w:t xml:space="preserve"> </w:t>
      </w:r>
      <w:hyperlink r:id="rId14">
        <w:r>
          <w:rPr>
            <w:color w:val="1154CC"/>
            <w:u w:val="single"/>
          </w:rPr>
          <w:t>sse.legis@gmail.com</w:t>
        </w:r>
      </w:hyperlink>
      <w:r>
        <w:rPr>
          <w:color w:val="000000"/>
        </w:rPr>
        <w:t xml:space="preserve">. Please include the attached </w:t>
      </w:r>
      <w:r>
        <w:rPr>
          <w:b/>
          <w:color w:val="000000"/>
        </w:rPr>
        <w:t xml:space="preserve">cover letter </w:t>
      </w:r>
      <w:r>
        <w:rPr>
          <w:color w:val="000000"/>
        </w:rPr>
        <w:t>form with your paper.</w:t>
      </w:r>
    </w:p>
    <w:p w14:paraId="6580C0F0" w14:textId="77777777" w:rsidR="0006099A" w:rsidRDefault="00B85180">
      <w:pPr>
        <w:numPr>
          <w:ilvl w:val="0"/>
          <w:numId w:val="1"/>
        </w:numPr>
        <w:pBdr>
          <w:top w:val="nil"/>
          <w:left w:val="nil"/>
          <w:bottom w:val="nil"/>
          <w:right w:val="nil"/>
          <w:between w:val="nil"/>
        </w:pBdr>
        <w:tabs>
          <w:tab w:val="left" w:pos="820"/>
          <w:tab w:val="left" w:pos="821"/>
        </w:tabs>
        <w:spacing w:line="278" w:lineRule="auto"/>
        <w:ind w:right="211" w:hanging="576"/>
      </w:pPr>
      <w:r>
        <w:rPr>
          <w:color w:val="000000"/>
        </w:rPr>
        <w:t xml:space="preserve">Do not include your name or </w:t>
      </w:r>
      <w:r>
        <w:rPr>
          <w:color w:val="000000"/>
        </w:rPr>
        <w:t>any identifying information in the response paper itself, as it will be graded anonymously. Any response papers with identifying information will be excluded from the competition.</w:t>
      </w:r>
    </w:p>
    <w:p w14:paraId="17769899" w14:textId="77777777" w:rsidR="0006099A" w:rsidRDefault="0006099A">
      <w:pPr>
        <w:pBdr>
          <w:top w:val="nil"/>
          <w:left w:val="nil"/>
          <w:bottom w:val="nil"/>
          <w:right w:val="nil"/>
          <w:between w:val="nil"/>
        </w:pBdr>
        <w:spacing w:before="6"/>
        <w:rPr>
          <w:color w:val="000000"/>
          <w:sz w:val="24"/>
          <w:szCs w:val="24"/>
        </w:rPr>
      </w:pPr>
    </w:p>
    <w:p w14:paraId="3BC8DE27" w14:textId="77777777" w:rsidR="0006099A" w:rsidRDefault="00B85180">
      <w:pPr>
        <w:pStyle w:val="Heading3"/>
        <w:spacing w:before="0"/>
        <w:ind w:right="153" w:firstLine="113"/>
        <w:rPr>
          <w:u w:val="none"/>
        </w:rPr>
      </w:pPr>
      <w:r>
        <w:t>PRIZES</w:t>
      </w:r>
    </w:p>
    <w:p w14:paraId="23FF5D54" w14:textId="77777777" w:rsidR="0006099A" w:rsidRDefault="0006099A">
      <w:pPr>
        <w:pBdr>
          <w:top w:val="nil"/>
          <w:left w:val="nil"/>
          <w:bottom w:val="nil"/>
          <w:right w:val="nil"/>
          <w:between w:val="nil"/>
        </w:pBdr>
        <w:rPr>
          <w:b/>
          <w:color w:val="000000"/>
          <w:sz w:val="21"/>
          <w:szCs w:val="21"/>
        </w:rPr>
      </w:pPr>
    </w:p>
    <w:p w14:paraId="16AC2D38" w14:textId="63E71B60" w:rsidR="0006099A" w:rsidRDefault="00B85180">
      <w:pPr>
        <w:sectPr w:rsidR="0006099A">
          <w:pgSz w:w="12240" w:h="15840"/>
          <w:pgMar w:top="1360" w:right="1300" w:bottom="280" w:left="1340" w:header="720" w:footer="720" w:gutter="0"/>
          <w:cols w:space="720"/>
        </w:sectPr>
      </w:pPr>
      <w:r>
        <w:t xml:space="preserve">The winning submissions will be publicly recognized at the Journal of Legislation and Public Policy’s Spring symposium, “College Athletics and Employment Law: A Conversation about Intercollegiate Sports and the Aftermath of </w:t>
      </w:r>
      <w:r>
        <w:rPr>
          <w:i/>
        </w:rPr>
        <w:t>NCAA v. Alston</w:t>
      </w:r>
      <w:r>
        <w:t>”</w:t>
      </w:r>
      <w:r>
        <w:t xml:space="preserve"> on Friday, Apri</w:t>
      </w:r>
      <w:r>
        <w:t xml:space="preserve">l 1, 2022 (to be hosted on Zoom). The symposium is co-hosted by the ​​NYU Center for Labor &amp; Employment Law and the NYU Sports Law Association. The winning team or individual will receive a cash prize of $250 and will be published on </w:t>
      </w:r>
      <w:r>
        <w:rPr>
          <w:i/>
        </w:rPr>
        <w:t>Quorum</w:t>
      </w:r>
      <w:r>
        <w:t xml:space="preserve">, JLPP’s online </w:t>
      </w:r>
      <w:r>
        <w:t xml:space="preserve">journal. The runner-up will receive a cash prize of $150, as well as publication on </w:t>
      </w:r>
      <w:r>
        <w:rPr>
          <w:i/>
        </w:rPr>
        <w:t>Quorum</w:t>
      </w:r>
      <w:r>
        <w:t xml:space="preserve">. 1L winners will also gain automatic admission onto the Journal of Legislation and Public Policy. </w:t>
      </w:r>
    </w:p>
    <w:p w14:paraId="664F7EAE" w14:textId="77777777" w:rsidR="0006099A" w:rsidRDefault="00B85180">
      <w:pPr>
        <w:pStyle w:val="Heading1"/>
        <w:spacing w:line="276" w:lineRule="auto"/>
        <w:ind w:left="2181" w:right="1452" w:hanging="642"/>
        <w:rPr>
          <w:sz w:val="50"/>
          <w:szCs w:val="50"/>
        </w:rPr>
      </w:pPr>
      <w:r>
        <w:rPr>
          <w:sz w:val="50"/>
          <w:szCs w:val="50"/>
        </w:rPr>
        <w:lastRenderedPageBreak/>
        <w:t xml:space="preserve">2022 Legislation Competition: </w:t>
      </w:r>
      <w:r>
        <w:rPr>
          <w:sz w:val="50"/>
          <w:szCs w:val="50"/>
          <w:u w:val="single"/>
        </w:rPr>
        <w:t>Applicant Cover Letter</w:t>
      </w:r>
    </w:p>
    <w:p w14:paraId="12BBC20A" w14:textId="77777777" w:rsidR="0006099A" w:rsidRDefault="0006099A">
      <w:pPr>
        <w:pBdr>
          <w:top w:val="nil"/>
          <w:left w:val="nil"/>
          <w:bottom w:val="nil"/>
          <w:right w:val="nil"/>
          <w:between w:val="nil"/>
        </w:pBdr>
        <w:rPr>
          <w:b/>
          <w:color w:val="000000"/>
          <w:sz w:val="20"/>
          <w:szCs w:val="20"/>
        </w:rPr>
      </w:pPr>
    </w:p>
    <w:p w14:paraId="480FB187" w14:textId="77777777" w:rsidR="0006099A" w:rsidRDefault="0006099A">
      <w:pPr>
        <w:pBdr>
          <w:top w:val="nil"/>
          <w:left w:val="nil"/>
          <w:bottom w:val="nil"/>
          <w:right w:val="nil"/>
          <w:between w:val="nil"/>
        </w:pBdr>
        <w:spacing w:before="9"/>
        <w:rPr>
          <w:b/>
          <w:color w:val="000000"/>
          <w:sz w:val="11"/>
          <w:szCs w:val="11"/>
        </w:rPr>
      </w:pPr>
    </w:p>
    <w:tbl>
      <w:tblPr>
        <w:tblStyle w:val="a"/>
        <w:tblW w:w="936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22"/>
        <w:gridCol w:w="5943"/>
      </w:tblGrid>
      <w:tr w:rsidR="0006099A" w14:paraId="3E63F91C" w14:textId="77777777">
        <w:trPr>
          <w:trHeight w:val="565"/>
        </w:trPr>
        <w:tc>
          <w:tcPr>
            <w:tcW w:w="3422" w:type="dxa"/>
          </w:tcPr>
          <w:p w14:paraId="1D1A7537" w14:textId="77777777" w:rsidR="0006099A" w:rsidRDefault="00B85180">
            <w:pPr>
              <w:pBdr>
                <w:top w:val="nil"/>
                <w:left w:val="nil"/>
                <w:bottom w:val="nil"/>
                <w:right w:val="nil"/>
                <w:between w:val="nil"/>
              </w:pBdr>
              <w:spacing w:before="98"/>
              <w:ind w:left="757" w:right="740"/>
              <w:jc w:val="center"/>
              <w:rPr>
                <w:color w:val="000000"/>
                <w:sz w:val="28"/>
                <w:szCs w:val="28"/>
              </w:rPr>
            </w:pPr>
            <w:r>
              <w:rPr>
                <w:color w:val="000000"/>
                <w:sz w:val="28"/>
                <w:szCs w:val="28"/>
                <w:u w:val="single"/>
              </w:rPr>
              <w:t>Name</w:t>
            </w:r>
          </w:p>
        </w:tc>
        <w:tc>
          <w:tcPr>
            <w:tcW w:w="5943" w:type="dxa"/>
          </w:tcPr>
          <w:p w14:paraId="1B0F8B69" w14:textId="77777777" w:rsidR="0006099A" w:rsidRDefault="0006099A">
            <w:pPr>
              <w:pBdr>
                <w:top w:val="nil"/>
                <w:left w:val="nil"/>
                <w:bottom w:val="nil"/>
                <w:right w:val="nil"/>
                <w:between w:val="nil"/>
              </w:pBdr>
              <w:rPr>
                <w:color w:val="000000"/>
                <w:sz w:val="36"/>
                <w:szCs w:val="36"/>
              </w:rPr>
            </w:pPr>
          </w:p>
        </w:tc>
      </w:tr>
      <w:tr w:rsidR="0006099A" w14:paraId="0F55F919" w14:textId="77777777">
        <w:trPr>
          <w:trHeight w:val="525"/>
        </w:trPr>
        <w:tc>
          <w:tcPr>
            <w:tcW w:w="3422" w:type="dxa"/>
          </w:tcPr>
          <w:p w14:paraId="1C588955" w14:textId="77777777" w:rsidR="0006099A" w:rsidRDefault="00B85180">
            <w:pPr>
              <w:pBdr>
                <w:top w:val="nil"/>
                <w:left w:val="nil"/>
                <w:bottom w:val="nil"/>
                <w:right w:val="nil"/>
                <w:between w:val="nil"/>
              </w:pBdr>
              <w:spacing w:before="99"/>
              <w:ind w:left="761" w:right="740"/>
              <w:jc w:val="center"/>
              <w:rPr>
                <w:color w:val="000000"/>
                <w:sz w:val="28"/>
                <w:szCs w:val="28"/>
              </w:rPr>
            </w:pPr>
            <w:r>
              <w:rPr>
                <w:color w:val="000000"/>
                <w:sz w:val="28"/>
                <w:szCs w:val="28"/>
                <w:u w:val="single"/>
              </w:rPr>
              <w:t>Email</w:t>
            </w:r>
          </w:p>
        </w:tc>
        <w:tc>
          <w:tcPr>
            <w:tcW w:w="5943" w:type="dxa"/>
          </w:tcPr>
          <w:p w14:paraId="0B993369" w14:textId="77777777" w:rsidR="0006099A" w:rsidRDefault="0006099A">
            <w:pPr>
              <w:pBdr>
                <w:top w:val="nil"/>
                <w:left w:val="nil"/>
                <w:bottom w:val="nil"/>
                <w:right w:val="nil"/>
                <w:between w:val="nil"/>
              </w:pBdr>
              <w:rPr>
                <w:color w:val="000000"/>
                <w:sz w:val="36"/>
                <w:szCs w:val="36"/>
              </w:rPr>
            </w:pPr>
          </w:p>
        </w:tc>
      </w:tr>
      <w:tr w:rsidR="0006099A" w14:paraId="716A9B8B" w14:textId="77777777">
        <w:trPr>
          <w:trHeight w:val="520"/>
        </w:trPr>
        <w:tc>
          <w:tcPr>
            <w:tcW w:w="3422" w:type="dxa"/>
          </w:tcPr>
          <w:p w14:paraId="7041DF2A" w14:textId="77777777" w:rsidR="0006099A" w:rsidRDefault="00B85180">
            <w:pPr>
              <w:pBdr>
                <w:top w:val="nil"/>
                <w:left w:val="nil"/>
                <w:bottom w:val="nil"/>
                <w:right w:val="nil"/>
                <w:between w:val="nil"/>
              </w:pBdr>
              <w:spacing w:before="98"/>
              <w:ind w:left="755" w:right="740"/>
              <w:jc w:val="center"/>
              <w:rPr>
                <w:color w:val="000000"/>
                <w:sz w:val="28"/>
                <w:szCs w:val="28"/>
              </w:rPr>
            </w:pPr>
            <w:r>
              <w:rPr>
                <w:color w:val="000000"/>
                <w:sz w:val="28"/>
                <w:szCs w:val="28"/>
                <w:u w:val="single"/>
              </w:rPr>
              <w:t>Phone Number</w:t>
            </w:r>
          </w:p>
        </w:tc>
        <w:tc>
          <w:tcPr>
            <w:tcW w:w="5943" w:type="dxa"/>
          </w:tcPr>
          <w:p w14:paraId="2A1B391B" w14:textId="77777777" w:rsidR="0006099A" w:rsidRDefault="0006099A">
            <w:pPr>
              <w:pBdr>
                <w:top w:val="nil"/>
                <w:left w:val="nil"/>
                <w:bottom w:val="nil"/>
                <w:right w:val="nil"/>
                <w:between w:val="nil"/>
              </w:pBdr>
              <w:rPr>
                <w:color w:val="000000"/>
                <w:sz w:val="36"/>
                <w:szCs w:val="36"/>
              </w:rPr>
            </w:pPr>
          </w:p>
        </w:tc>
      </w:tr>
      <w:tr w:rsidR="0006099A" w14:paraId="3C7F7304" w14:textId="77777777">
        <w:trPr>
          <w:trHeight w:val="520"/>
        </w:trPr>
        <w:tc>
          <w:tcPr>
            <w:tcW w:w="3422" w:type="dxa"/>
          </w:tcPr>
          <w:p w14:paraId="21DE226D" w14:textId="77777777" w:rsidR="0006099A" w:rsidRDefault="00B85180">
            <w:pPr>
              <w:pBdr>
                <w:top w:val="nil"/>
                <w:left w:val="nil"/>
                <w:bottom w:val="nil"/>
                <w:right w:val="nil"/>
                <w:between w:val="nil"/>
              </w:pBdr>
              <w:spacing w:before="98"/>
              <w:ind w:left="761" w:right="740"/>
              <w:jc w:val="center"/>
              <w:rPr>
                <w:color w:val="000000"/>
                <w:sz w:val="28"/>
                <w:szCs w:val="28"/>
              </w:rPr>
            </w:pPr>
            <w:r>
              <w:rPr>
                <w:color w:val="000000"/>
                <w:sz w:val="28"/>
                <w:szCs w:val="28"/>
                <w:u w:val="single"/>
              </w:rPr>
              <w:t>NYU Affiliation</w:t>
            </w:r>
          </w:p>
        </w:tc>
        <w:tc>
          <w:tcPr>
            <w:tcW w:w="5943" w:type="dxa"/>
          </w:tcPr>
          <w:p w14:paraId="61DB7E0C" w14:textId="77777777" w:rsidR="0006099A" w:rsidRDefault="0006099A">
            <w:pPr>
              <w:pBdr>
                <w:top w:val="nil"/>
                <w:left w:val="nil"/>
                <w:bottom w:val="nil"/>
                <w:right w:val="nil"/>
                <w:between w:val="nil"/>
              </w:pBdr>
              <w:rPr>
                <w:color w:val="000000"/>
                <w:sz w:val="36"/>
                <w:szCs w:val="36"/>
              </w:rPr>
            </w:pPr>
          </w:p>
        </w:tc>
      </w:tr>
      <w:tr w:rsidR="0006099A" w14:paraId="4F5BB30C" w14:textId="77777777">
        <w:trPr>
          <w:trHeight w:val="525"/>
        </w:trPr>
        <w:tc>
          <w:tcPr>
            <w:tcW w:w="3422" w:type="dxa"/>
          </w:tcPr>
          <w:p w14:paraId="006C466F" w14:textId="77777777" w:rsidR="0006099A" w:rsidRDefault="00B85180">
            <w:pPr>
              <w:pBdr>
                <w:top w:val="nil"/>
                <w:left w:val="nil"/>
                <w:bottom w:val="nil"/>
                <w:right w:val="nil"/>
                <w:between w:val="nil"/>
              </w:pBdr>
              <w:spacing w:before="99"/>
              <w:ind w:left="761" w:right="740"/>
              <w:jc w:val="center"/>
              <w:rPr>
                <w:color w:val="000000"/>
                <w:sz w:val="28"/>
                <w:szCs w:val="28"/>
              </w:rPr>
            </w:pPr>
            <w:r>
              <w:rPr>
                <w:color w:val="000000"/>
                <w:sz w:val="28"/>
                <w:szCs w:val="28"/>
                <w:u w:val="single"/>
              </w:rPr>
              <w:t>Class Year</w:t>
            </w:r>
          </w:p>
        </w:tc>
        <w:tc>
          <w:tcPr>
            <w:tcW w:w="5943" w:type="dxa"/>
          </w:tcPr>
          <w:p w14:paraId="54D6CBF7" w14:textId="77777777" w:rsidR="0006099A" w:rsidRDefault="0006099A">
            <w:pPr>
              <w:pBdr>
                <w:top w:val="nil"/>
                <w:left w:val="nil"/>
                <w:bottom w:val="nil"/>
                <w:right w:val="nil"/>
                <w:between w:val="nil"/>
              </w:pBdr>
              <w:rPr>
                <w:color w:val="000000"/>
                <w:sz w:val="36"/>
                <w:szCs w:val="36"/>
              </w:rPr>
            </w:pPr>
          </w:p>
        </w:tc>
      </w:tr>
    </w:tbl>
    <w:p w14:paraId="0BF0C361" w14:textId="77777777" w:rsidR="0006099A" w:rsidRDefault="0006099A">
      <w:pPr>
        <w:pBdr>
          <w:top w:val="nil"/>
          <w:left w:val="nil"/>
          <w:bottom w:val="nil"/>
          <w:right w:val="nil"/>
          <w:between w:val="nil"/>
        </w:pBdr>
        <w:rPr>
          <w:b/>
          <w:color w:val="000000"/>
          <w:sz w:val="20"/>
          <w:szCs w:val="20"/>
        </w:rPr>
      </w:pPr>
    </w:p>
    <w:p w14:paraId="2E8428EC" w14:textId="77777777" w:rsidR="0006099A" w:rsidRDefault="0006099A">
      <w:pPr>
        <w:pBdr>
          <w:top w:val="nil"/>
          <w:left w:val="nil"/>
          <w:bottom w:val="nil"/>
          <w:right w:val="nil"/>
          <w:between w:val="nil"/>
        </w:pBdr>
        <w:spacing w:before="2"/>
        <w:rPr>
          <w:b/>
          <w:color w:val="000000"/>
          <w:sz w:val="12"/>
          <w:szCs w:val="12"/>
        </w:rPr>
      </w:pPr>
    </w:p>
    <w:tbl>
      <w:tblPr>
        <w:tblStyle w:val="a0"/>
        <w:tblW w:w="936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22"/>
        <w:gridCol w:w="5943"/>
      </w:tblGrid>
      <w:tr w:rsidR="0006099A" w14:paraId="675A3F8E" w14:textId="77777777">
        <w:trPr>
          <w:trHeight w:val="575"/>
        </w:trPr>
        <w:tc>
          <w:tcPr>
            <w:tcW w:w="3422" w:type="dxa"/>
          </w:tcPr>
          <w:p w14:paraId="1F22A08E" w14:textId="77777777" w:rsidR="0006099A" w:rsidRDefault="00B85180">
            <w:pPr>
              <w:pBdr>
                <w:top w:val="nil"/>
                <w:left w:val="nil"/>
                <w:bottom w:val="nil"/>
                <w:right w:val="nil"/>
                <w:between w:val="nil"/>
              </w:pBdr>
              <w:spacing w:before="98"/>
              <w:ind w:left="757" w:right="740"/>
              <w:jc w:val="center"/>
              <w:rPr>
                <w:color w:val="000000"/>
                <w:sz w:val="28"/>
                <w:szCs w:val="28"/>
              </w:rPr>
            </w:pPr>
            <w:r>
              <w:rPr>
                <w:color w:val="000000"/>
                <w:sz w:val="28"/>
                <w:szCs w:val="28"/>
                <w:u w:val="single"/>
              </w:rPr>
              <w:t>Name</w:t>
            </w:r>
          </w:p>
        </w:tc>
        <w:tc>
          <w:tcPr>
            <w:tcW w:w="5943" w:type="dxa"/>
          </w:tcPr>
          <w:p w14:paraId="0E76319E" w14:textId="77777777" w:rsidR="0006099A" w:rsidRDefault="0006099A">
            <w:pPr>
              <w:pBdr>
                <w:top w:val="nil"/>
                <w:left w:val="nil"/>
                <w:bottom w:val="nil"/>
                <w:right w:val="nil"/>
                <w:between w:val="nil"/>
              </w:pBdr>
              <w:rPr>
                <w:color w:val="000000"/>
                <w:sz w:val="36"/>
                <w:szCs w:val="36"/>
              </w:rPr>
            </w:pPr>
          </w:p>
        </w:tc>
      </w:tr>
      <w:tr w:rsidR="0006099A" w14:paraId="28C110D4" w14:textId="77777777">
        <w:trPr>
          <w:trHeight w:val="520"/>
        </w:trPr>
        <w:tc>
          <w:tcPr>
            <w:tcW w:w="3422" w:type="dxa"/>
          </w:tcPr>
          <w:p w14:paraId="0C451D88" w14:textId="77777777" w:rsidR="0006099A" w:rsidRDefault="00B85180">
            <w:pPr>
              <w:pBdr>
                <w:top w:val="nil"/>
                <w:left w:val="nil"/>
                <w:bottom w:val="nil"/>
                <w:right w:val="nil"/>
                <w:between w:val="nil"/>
              </w:pBdr>
              <w:spacing w:before="99"/>
              <w:ind w:left="761" w:right="740"/>
              <w:jc w:val="center"/>
              <w:rPr>
                <w:color w:val="000000"/>
                <w:sz w:val="28"/>
                <w:szCs w:val="28"/>
              </w:rPr>
            </w:pPr>
            <w:r>
              <w:rPr>
                <w:color w:val="000000"/>
                <w:sz w:val="28"/>
                <w:szCs w:val="28"/>
                <w:u w:val="single"/>
              </w:rPr>
              <w:t>Email</w:t>
            </w:r>
          </w:p>
        </w:tc>
        <w:tc>
          <w:tcPr>
            <w:tcW w:w="5943" w:type="dxa"/>
          </w:tcPr>
          <w:p w14:paraId="528A8FF2" w14:textId="77777777" w:rsidR="0006099A" w:rsidRDefault="0006099A">
            <w:pPr>
              <w:pBdr>
                <w:top w:val="nil"/>
                <w:left w:val="nil"/>
                <w:bottom w:val="nil"/>
                <w:right w:val="nil"/>
                <w:between w:val="nil"/>
              </w:pBdr>
              <w:rPr>
                <w:color w:val="000000"/>
                <w:sz w:val="36"/>
                <w:szCs w:val="36"/>
              </w:rPr>
            </w:pPr>
          </w:p>
        </w:tc>
      </w:tr>
      <w:tr w:rsidR="0006099A" w14:paraId="5568A792" w14:textId="77777777">
        <w:trPr>
          <w:trHeight w:val="525"/>
        </w:trPr>
        <w:tc>
          <w:tcPr>
            <w:tcW w:w="3422" w:type="dxa"/>
          </w:tcPr>
          <w:p w14:paraId="11AF6DA9" w14:textId="77777777" w:rsidR="0006099A" w:rsidRDefault="00B85180">
            <w:pPr>
              <w:pBdr>
                <w:top w:val="nil"/>
                <w:left w:val="nil"/>
                <w:bottom w:val="nil"/>
                <w:right w:val="nil"/>
                <w:between w:val="nil"/>
              </w:pBdr>
              <w:spacing w:before="98"/>
              <w:ind w:left="756" w:right="740"/>
              <w:jc w:val="center"/>
              <w:rPr>
                <w:color w:val="000000"/>
                <w:sz w:val="28"/>
                <w:szCs w:val="28"/>
              </w:rPr>
            </w:pPr>
            <w:r>
              <w:rPr>
                <w:color w:val="000000"/>
                <w:sz w:val="28"/>
                <w:szCs w:val="28"/>
                <w:u w:val="single"/>
              </w:rPr>
              <w:t>Phone Number</w:t>
            </w:r>
          </w:p>
        </w:tc>
        <w:tc>
          <w:tcPr>
            <w:tcW w:w="5943" w:type="dxa"/>
          </w:tcPr>
          <w:p w14:paraId="120E9B4E" w14:textId="77777777" w:rsidR="0006099A" w:rsidRDefault="0006099A">
            <w:pPr>
              <w:pBdr>
                <w:top w:val="nil"/>
                <w:left w:val="nil"/>
                <w:bottom w:val="nil"/>
                <w:right w:val="nil"/>
                <w:between w:val="nil"/>
              </w:pBdr>
              <w:rPr>
                <w:color w:val="000000"/>
                <w:sz w:val="36"/>
                <w:szCs w:val="36"/>
              </w:rPr>
            </w:pPr>
          </w:p>
        </w:tc>
      </w:tr>
      <w:tr w:rsidR="0006099A" w14:paraId="7FA43B3E" w14:textId="77777777">
        <w:trPr>
          <w:trHeight w:val="520"/>
        </w:trPr>
        <w:tc>
          <w:tcPr>
            <w:tcW w:w="3422" w:type="dxa"/>
          </w:tcPr>
          <w:p w14:paraId="2AF17AA3" w14:textId="77777777" w:rsidR="0006099A" w:rsidRDefault="00B85180">
            <w:pPr>
              <w:pBdr>
                <w:top w:val="nil"/>
                <w:left w:val="nil"/>
                <w:bottom w:val="nil"/>
                <w:right w:val="nil"/>
                <w:between w:val="nil"/>
              </w:pBdr>
              <w:spacing w:before="98"/>
              <w:ind w:left="761" w:right="740"/>
              <w:jc w:val="center"/>
              <w:rPr>
                <w:color w:val="000000"/>
                <w:sz w:val="28"/>
                <w:szCs w:val="28"/>
              </w:rPr>
            </w:pPr>
            <w:r>
              <w:rPr>
                <w:color w:val="000000"/>
                <w:sz w:val="28"/>
                <w:szCs w:val="28"/>
                <w:u w:val="single"/>
              </w:rPr>
              <w:t>NYU Affiliation</w:t>
            </w:r>
          </w:p>
        </w:tc>
        <w:tc>
          <w:tcPr>
            <w:tcW w:w="5943" w:type="dxa"/>
          </w:tcPr>
          <w:p w14:paraId="0CFA7697" w14:textId="77777777" w:rsidR="0006099A" w:rsidRDefault="0006099A">
            <w:pPr>
              <w:pBdr>
                <w:top w:val="nil"/>
                <w:left w:val="nil"/>
                <w:bottom w:val="nil"/>
                <w:right w:val="nil"/>
                <w:between w:val="nil"/>
              </w:pBdr>
              <w:rPr>
                <w:color w:val="000000"/>
                <w:sz w:val="36"/>
                <w:szCs w:val="36"/>
              </w:rPr>
            </w:pPr>
          </w:p>
        </w:tc>
      </w:tr>
      <w:tr w:rsidR="0006099A" w14:paraId="1C3FC743" w14:textId="77777777">
        <w:trPr>
          <w:trHeight w:val="525"/>
        </w:trPr>
        <w:tc>
          <w:tcPr>
            <w:tcW w:w="3422" w:type="dxa"/>
          </w:tcPr>
          <w:p w14:paraId="5A81C929" w14:textId="77777777" w:rsidR="0006099A" w:rsidRDefault="00B85180">
            <w:pPr>
              <w:pBdr>
                <w:top w:val="nil"/>
                <w:left w:val="nil"/>
                <w:bottom w:val="nil"/>
                <w:right w:val="nil"/>
                <w:between w:val="nil"/>
              </w:pBdr>
              <w:spacing w:before="99"/>
              <w:ind w:left="761" w:right="740"/>
              <w:jc w:val="center"/>
              <w:rPr>
                <w:color w:val="000000"/>
                <w:sz w:val="28"/>
                <w:szCs w:val="28"/>
              </w:rPr>
            </w:pPr>
            <w:r>
              <w:rPr>
                <w:color w:val="000000"/>
                <w:sz w:val="28"/>
                <w:szCs w:val="28"/>
                <w:u w:val="single"/>
              </w:rPr>
              <w:t>Class Year</w:t>
            </w:r>
          </w:p>
        </w:tc>
        <w:tc>
          <w:tcPr>
            <w:tcW w:w="5943" w:type="dxa"/>
          </w:tcPr>
          <w:p w14:paraId="400F0BAD" w14:textId="77777777" w:rsidR="0006099A" w:rsidRDefault="0006099A">
            <w:pPr>
              <w:pBdr>
                <w:top w:val="nil"/>
                <w:left w:val="nil"/>
                <w:bottom w:val="nil"/>
                <w:right w:val="nil"/>
                <w:between w:val="nil"/>
              </w:pBdr>
              <w:rPr>
                <w:color w:val="000000"/>
                <w:sz w:val="36"/>
                <w:szCs w:val="36"/>
              </w:rPr>
            </w:pPr>
          </w:p>
        </w:tc>
      </w:tr>
    </w:tbl>
    <w:p w14:paraId="55CC1FE4" w14:textId="77777777" w:rsidR="0006099A" w:rsidRDefault="0006099A">
      <w:pPr>
        <w:pBdr>
          <w:top w:val="nil"/>
          <w:left w:val="nil"/>
          <w:bottom w:val="nil"/>
          <w:right w:val="nil"/>
          <w:between w:val="nil"/>
        </w:pBdr>
        <w:rPr>
          <w:b/>
          <w:color w:val="000000"/>
          <w:sz w:val="20"/>
          <w:szCs w:val="20"/>
        </w:rPr>
      </w:pPr>
    </w:p>
    <w:p w14:paraId="12F063C5" w14:textId="77777777" w:rsidR="0006099A" w:rsidRDefault="0006099A">
      <w:pPr>
        <w:pBdr>
          <w:top w:val="nil"/>
          <w:left w:val="nil"/>
          <w:bottom w:val="nil"/>
          <w:right w:val="nil"/>
          <w:between w:val="nil"/>
        </w:pBdr>
        <w:spacing w:before="2"/>
        <w:rPr>
          <w:b/>
          <w:color w:val="000000"/>
          <w:sz w:val="12"/>
          <w:szCs w:val="12"/>
        </w:rPr>
      </w:pPr>
    </w:p>
    <w:tbl>
      <w:tblPr>
        <w:tblStyle w:val="a1"/>
        <w:tblW w:w="936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22"/>
        <w:gridCol w:w="5943"/>
      </w:tblGrid>
      <w:tr w:rsidR="0006099A" w14:paraId="5796B5FA" w14:textId="77777777">
        <w:trPr>
          <w:trHeight w:val="555"/>
        </w:trPr>
        <w:tc>
          <w:tcPr>
            <w:tcW w:w="3422" w:type="dxa"/>
          </w:tcPr>
          <w:p w14:paraId="2B302C4C" w14:textId="77777777" w:rsidR="0006099A" w:rsidRDefault="00B85180">
            <w:pPr>
              <w:pBdr>
                <w:top w:val="nil"/>
                <w:left w:val="nil"/>
                <w:bottom w:val="nil"/>
                <w:right w:val="nil"/>
                <w:between w:val="nil"/>
              </w:pBdr>
              <w:spacing w:before="98"/>
              <w:ind w:left="757" w:right="740"/>
              <w:jc w:val="center"/>
              <w:rPr>
                <w:color w:val="000000"/>
                <w:sz w:val="28"/>
                <w:szCs w:val="28"/>
              </w:rPr>
            </w:pPr>
            <w:r>
              <w:rPr>
                <w:color w:val="000000"/>
                <w:sz w:val="28"/>
                <w:szCs w:val="28"/>
                <w:u w:val="single"/>
              </w:rPr>
              <w:t>Name</w:t>
            </w:r>
          </w:p>
        </w:tc>
        <w:tc>
          <w:tcPr>
            <w:tcW w:w="5943" w:type="dxa"/>
          </w:tcPr>
          <w:p w14:paraId="72202E22" w14:textId="77777777" w:rsidR="0006099A" w:rsidRDefault="0006099A">
            <w:pPr>
              <w:pBdr>
                <w:top w:val="nil"/>
                <w:left w:val="nil"/>
                <w:bottom w:val="nil"/>
                <w:right w:val="nil"/>
                <w:between w:val="nil"/>
              </w:pBdr>
              <w:rPr>
                <w:color w:val="000000"/>
                <w:sz w:val="36"/>
                <w:szCs w:val="36"/>
              </w:rPr>
            </w:pPr>
          </w:p>
        </w:tc>
      </w:tr>
      <w:tr w:rsidR="0006099A" w14:paraId="7907DBC1" w14:textId="77777777">
        <w:trPr>
          <w:trHeight w:val="520"/>
        </w:trPr>
        <w:tc>
          <w:tcPr>
            <w:tcW w:w="3422" w:type="dxa"/>
          </w:tcPr>
          <w:p w14:paraId="4BD019C0" w14:textId="77777777" w:rsidR="0006099A" w:rsidRDefault="00B85180">
            <w:pPr>
              <w:pBdr>
                <w:top w:val="nil"/>
                <w:left w:val="nil"/>
                <w:bottom w:val="nil"/>
                <w:right w:val="nil"/>
                <w:between w:val="nil"/>
              </w:pBdr>
              <w:spacing w:before="99"/>
              <w:ind w:left="761" w:right="740"/>
              <w:jc w:val="center"/>
              <w:rPr>
                <w:color w:val="000000"/>
                <w:sz w:val="28"/>
                <w:szCs w:val="28"/>
              </w:rPr>
            </w:pPr>
            <w:r>
              <w:rPr>
                <w:color w:val="000000"/>
                <w:sz w:val="28"/>
                <w:szCs w:val="28"/>
                <w:u w:val="single"/>
              </w:rPr>
              <w:t>Email</w:t>
            </w:r>
          </w:p>
        </w:tc>
        <w:tc>
          <w:tcPr>
            <w:tcW w:w="5943" w:type="dxa"/>
          </w:tcPr>
          <w:p w14:paraId="0978C41A" w14:textId="77777777" w:rsidR="0006099A" w:rsidRDefault="0006099A">
            <w:pPr>
              <w:pBdr>
                <w:top w:val="nil"/>
                <w:left w:val="nil"/>
                <w:bottom w:val="nil"/>
                <w:right w:val="nil"/>
                <w:between w:val="nil"/>
              </w:pBdr>
              <w:rPr>
                <w:color w:val="000000"/>
                <w:sz w:val="36"/>
                <w:szCs w:val="36"/>
              </w:rPr>
            </w:pPr>
          </w:p>
        </w:tc>
      </w:tr>
      <w:tr w:rsidR="0006099A" w14:paraId="4EF6A45B" w14:textId="77777777">
        <w:trPr>
          <w:trHeight w:val="524"/>
        </w:trPr>
        <w:tc>
          <w:tcPr>
            <w:tcW w:w="3422" w:type="dxa"/>
          </w:tcPr>
          <w:p w14:paraId="3D8671CD" w14:textId="77777777" w:rsidR="0006099A" w:rsidRDefault="00B85180">
            <w:pPr>
              <w:pBdr>
                <w:top w:val="nil"/>
                <w:left w:val="nil"/>
                <w:bottom w:val="nil"/>
                <w:right w:val="nil"/>
                <w:between w:val="nil"/>
              </w:pBdr>
              <w:spacing w:before="98"/>
              <w:ind w:left="755" w:right="740"/>
              <w:jc w:val="center"/>
              <w:rPr>
                <w:color w:val="000000"/>
                <w:sz w:val="28"/>
                <w:szCs w:val="28"/>
              </w:rPr>
            </w:pPr>
            <w:r>
              <w:rPr>
                <w:color w:val="000000"/>
                <w:sz w:val="28"/>
                <w:szCs w:val="28"/>
                <w:u w:val="single"/>
              </w:rPr>
              <w:t>Phone Number</w:t>
            </w:r>
          </w:p>
        </w:tc>
        <w:tc>
          <w:tcPr>
            <w:tcW w:w="5943" w:type="dxa"/>
          </w:tcPr>
          <w:p w14:paraId="69C89485" w14:textId="77777777" w:rsidR="0006099A" w:rsidRDefault="0006099A">
            <w:pPr>
              <w:pBdr>
                <w:top w:val="nil"/>
                <w:left w:val="nil"/>
                <w:bottom w:val="nil"/>
                <w:right w:val="nil"/>
                <w:between w:val="nil"/>
              </w:pBdr>
              <w:rPr>
                <w:color w:val="000000"/>
                <w:sz w:val="36"/>
                <w:szCs w:val="36"/>
              </w:rPr>
            </w:pPr>
          </w:p>
        </w:tc>
      </w:tr>
      <w:tr w:rsidR="0006099A" w14:paraId="0CBE69E1" w14:textId="77777777">
        <w:trPr>
          <w:trHeight w:val="520"/>
        </w:trPr>
        <w:tc>
          <w:tcPr>
            <w:tcW w:w="3422" w:type="dxa"/>
          </w:tcPr>
          <w:p w14:paraId="670C226E" w14:textId="77777777" w:rsidR="0006099A" w:rsidRDefault="00B85180">
            <w:pPr>
              <w:pBdr>
                <w:top w:val="nil"/>
                <w:left w:val="nil"/>
                <w:bottom w:val="nil"/>
                <w:right w:val="nil"/>
                <w:between w:val="nil"/>
              </w:pBdr>
              <w:spacing w:before="98"/>
              <w:ind w:left="761" w:right="740"/>
              <w:jc w:val="center"/>
              <w:rPr>
                <w:color w:val="000000"/>
                <w:sz w:val="28"/>
                <w:szCs w:val="28"/>
              </w:rPr>
            </w:pPr>
            <w:r>
              <w:rPr>
                <w:color w:val="000000"/>
                <w:sz w:val="28"/>
                <w:szCs w:val="28"/>
                <w:u w:val="single"/>
              </w:rPr>
              <w:t>NYU Affiliation</w:t>
            </w:r>
          </w:p>
        </w:tc>
        <w:tc>
          <w:tcPr>
            <w:tcW w:w="5943" w:type="dxa"/>
          </w:tcPr>
          <w:p w14:paraId="5791BAF7" w14:textId="77777777" w:rsidR="0006099A" w:rsidRDefault="0006099A">
            <w:pPr>
              <w:pBdr>
                <w:top w:val="nil"/>
                <w:left w:val="nil"/>
                <w:bottom w:val="nil"/>
                <w:right w:val="nil"/>
                <w:between w:val="nil"/>
              </w:pBdr>
              <w:rPr>
                <w:color w:val="000000"/>
                <w:sz w:val="36"/>
                <w:szCs w:val="36"/>
              </w:rPr>
            </w:pPr>
          </w:p>
        </w:tc>
      </w:tr>
      <w:tr w:rsidR="0006099A" w14:paraId="2FBDAA1E" w14:textId="77777777">
        <w:trPr>
          <w:trHeight w:val="525"/>
        </w:trPr>
        <w:tc>
          <w:tcPr>
            <w:tcW w:w="3422" w:type="dxa"/>
          </w:tcPr>
          <w:p w14:paraId="7FF08F89" w14:textId="77777777" w:rsidR="0006099A" w:rsidRDefault="00B85180">
            <w:pPr>
              <w:pBdr>
                <w:top w:val="nil"/>
                <w:left w:val="nil"/>
                <w:bottom w:val="nil"/>
                <w:right w:val="nil"/>
                <w:between w:val="nil"/>
              </w:pBdr>
              <w:spacing w:before="99"/>
              <w:ind w:left="761" w:right="740"/>
              <w:jc w:val="center"/>
              <w:rPr>
                <w:color w:val="000000"/>
                <w:sz w:val="28"/>
                <w:szCs w:val="28"/>
              </w:rPr>
            </w:pPr>
            <w:r>
              <w:rPr>
                <w:color w:val="000000"/>
                <w:sz w:val="28"/>
                <w:szCs w:val="28"/>
                <w:u w:val="single"/>
              </w:rPr>
              <w:t>Class Year</w:t>
            </w:r>
          </w:p>
        </w:tc>
        <w:tc>
          <w:tcPr>
            <w:tcW w:w="5943" w:type="dxa"/>
          </w:tcPr>
          <w:p w14:paraId="4ABF80D1" w14:textId="77777777" w:rsidR="0006099A" w:rsidRDefault="0006099A">
            <w:pPr>
              <w:pBdr>
                <w:top w:val="nil"/>
                <w:left w:val="nil"/>
                <w:bottom w:val="nil"/>
                <w:right w:val="nil"/>
                <w:between w:val="nil"/>
              </w:pBdr>
              <w:rPr>
                <w:color w:val="000000"/>
                <w:sz w:val="36"/>
                <w:szCs w:val="36"/>
              </w:rPr>
            </w:pPr>
          </w:p>
        </w:tc>
      </w:tr>
    </w:tbl>
    <w:p w14:paraId="5ABF042B" w14:textId="77777777" w:rsidR="0006099A" w:rsidRDefault="0006099A">
      <w:pPr>
        <w:pBdr>
          <w:top w:val="nil"/>
          <w:left w:val="nil"/>
          <w:bottom w:val="nil"/>
          <w:right w:val="nil"/>
          <w:between w:val="nil"/>
        </w:pBdr>
        <w:spacing w:before="5"/>
        <w:rPr>
          <w:b/>
          <w:color w:val="000000"/>
          <w:sz w:val="18"/>
          <w:szCs w:val="18"/>
        </w:rPr>
      </w:pPr>
    </w:p>
    <w:p w14:paraId="62CA2B79" w14:textId="2DAE7F63" w:rsidR="00B85180" w:rsidRDefault="00B85180">
      <w:pPr>
        <w:pStyle w:val="Heading1"/>
        <w:spacing w:before="85"/>
        <w:ind w:firstLine="0"/>
        <w:jc w:val="center"/>
      </w:pPr>
      <w:r w:rsidRPr="00B85180">
        <w:rPr>
          <w:noProof/>
        </w:rPr>
        <w:drawing>
          <wp:inline distT="0" distB="0" distL="0" distR="0" wp14:anchorId="7AC08BEC" wp14:editId="6BDDAB34">
            <wp:extent cx="5471160" cy="14515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0100" cy="1453939"/>
                    </a:xfrm>
                    <a:prstGeom prst="rect">
                      <a:avLst/>
                    </a:prstGeom>
                    <a:noFill/>
                    <a:ln>
                      <a:noFill/>
                    </a:ln>
                  </pic:spPr>
                </pic:pic>
              </a:graphicData>
            </a:graphic>
          </wp:inline>
        </w:drawing>
      </w:r>
    </w:p>
    <w:sectPr w:rsidR="00B85180">
      <w:pgSz w:w="12240" w:h="15840"/>
      <w:pgMar w:top="138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5070"/>
    <w:multiLevelType w:val="multilevel"/>
    <w:tmpl w:val="595488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495419"/>
    <w:multiLevelType w:val="multilevel"/>
    <w:tmpl w:val="2512B0AC"/>
    <w:lvl w:ilvl="0">
      <w:start w:val="1"/>
      <w:numFmt w:val="upperRoman"/>
      <w:lvlText w:val="%1."/>
      <w:lvlJc w:val="left"/>
      <w:pPr>
        <w:ind w:left="821" w:hanging="491"/>
      </w:pPr>
    </w:lvl>
    <w:lvl w:ilvl="1">
      <w:numFmt w:val="bullet"/>
      <w:lvlText w:val="•"/>
      <w:lvlJc w:val="left"/>
      <w:pPr>
        <w:ind w:left="1698" w:hanging="490"/>
      </w:pPr>
    </w:lvl>
    <w:lvl w:ilvl="2">
      <w:numFmt w:val="bullet"/>
      <w:lvlText w:val="•"/>
      <w:lvlJc w:val="left"/>
      <w:pPr>
        <w:ind w:left="2576" w:hanging="490"/>
      </w:pPr>
    </w:lvl>
    <w:lvl w:ilvl="3">
      <w:numFmt w:val="bullet"/>
      <w:lvlText w:val="•"/>
      <w:lvlJc w:val="left"/>
      <w:pPr>
        <w:ind w:left="3454" w:hanging="491"/>
      </w:pPr>
    </w:lvl>
    <w:lvl w:ilvl="4">
      <w:numFmt w:val="bullet"/>
      <w:lvlText w:val="•"/>
      <w:lvlJc w:val="left"/>
      <w:pPr>
        <w:ind w:left="4332" w:hanging="491"/>
      </w:pPr>
    </w:lvl>
    <w:lvl w:ilvl="5">
      <w:numFmt w:val="bullet"/>
      <w:lvlText w:val="•"/>
      <w:lvlJc w:val="left"/>
      <w:pPr>
        <w:ind w:left="5210" w:hanging="491"/>
      </w:pPr>
    </w:lvl>
    <w:lvl w:ilvl="6">
      <w:numFmt w:val="bullet"/>
      <w:lvlText w:val="•"/>
      <w:lvlJc w:val="left"/>
      <w:pPr>
        <w:ind w:left="6088" w:hanging="491"/>
      </w:pPr>
    </w:lvl>
    <w:lvl w:ilvl="7">
      <w:numFmt w:val="bullet"/>
      <w:lvlText w:val="•"/>
      <w:lvlJc w:val="left"/>
      <w:pPr>
        <w:ind w:left="6966" w:hanging="491"/>
      </w:pPr>
    </w:lvl>
    <w:lvl w:ilvl="8">
      <w:numFmt w:val="bullet"/>
      <w:lvlText w:val="•"/>
      <w:lvlJc w:val="left"/>
      <w:pPr>
        <w:ind w:left="7844" w:hanging="49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9A"/>
    <w:rsid w:val="0006099A"/>
    <w:rsid w:val="00A02BE0"/>
    <w:rsid w:val="00B85180"/>
    <w:rsid w:val="00D6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6ADC"/>
  <w15:docId w15:val="{D3B882D3-9A12-495A-9C7C-D7BB36A0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5"/>
      <w:ind w:left="113" w:right="154" w:hanging="756"/>
      <w:outlineLvl w:val="0"/>
    </w:pPr>
    <w:rPr>
      <w:b/>
      <w:bCs/>
      <w:sz w:val="52"/>
      <w:szCs w:val="52"/>
    </w:rPr>
  </w:style>
  <w:style w:type="paragraph" w:styleId="Heading2">
    <w:name w:val="heading 2"/>
    <w:basedOn w:val="Normal"/>
    <w:uiPriority w:val="9"/>
    <w:unhideWhenUsed/>
    <w:qFormat/>
    <w:pPr>
      <w:spacing w:before="1"/>
      <w:ind w:left="113" w:right="154"/>
      <w:jc w:val="center"/>
      <w:outlineLvl w:val="1"/>
    </w:pPr>
    <w:rPr>
      <w:sz w:val="44"/>
      <w:szCs w:val="44"/>
    </w:rPr>
  </w:style>
  <w:style w:type="paragraph" w:styleId="Heading3">
    <w:name w:val="heading 3"/>
    <w:basedOn w:val="Normal"/>
    <w:uiPriority w:val="9"/>
    <w:unhideWhenUsed/>
    <w:qFormat/>
    <w:pPr>
      <w:spacing w:before="80"/>
      <w:ind w:left="113" w:right="144"/>
      <w:jc w:val="center"/>
      <w:outlineLvl w:val="2"/>
    </w:pPr>
    <w:rPr>
      <w:b/>
      <w:bCs/>
      <w:u w:val="single" w:color="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7"/>
      <w:ind w:left="645" w:right="684"/>
      <w:jc w:val="center"/>
    </w:pPr>
    <w:rPr>
      <w:b/>
      <w:bCs/>
      <w:sz w:val="88"/>
      <w:szCs w:val="88"/>
    </w:rPr>
  </w:style>
  <w:style w:type="paragraph" w:styleId="BodyText">
    <w:name w:val="Body Text"/>
    <w:basedOn w:val="Normal"/>
    <w:uiPriority w:val="1"/>
    <w:qFormat/>
  </w:style>
  <w:style w:type="paragraph" w:styleId="ListParagraph">
    <w:name w:val="List Paragraph"/>
    <w:basedOn w:val="Normal"/>
    <w:uiPriority w:val="1"/>
    <w:qFormat/>
    <w:pPr>
      <w:ind w:left="821" w:hanging="636"/>
    </w:pPr>
  </w:style>
  <w:style w:type="paragraph" w:customStyle="1" w:styleId="TableParagraph">
    <w:name w:val="Table Paragraph"/>
    <w:basedOn w:val="Normal"/>
    <w:uiPriority w:val="1"/>
    <w:qFormat/>
    <w:rPr>
      <w:u w:val="single" w:color="000000"/>
    </w:rPr>
  </w:style>
  <w:style w:type="paragraph" w:styleId="Revision">
    <w:name w:val="Revision"/>
    <w:hidden/>
    <w:uiPriority w:val="99"/>
    <w:semiHidden/>
    <w:rsid w:val="00C13F6D"/>
    <w:pPr>
      <w:widowControl/>
    </w:pPr>
  </w:style>
  <w:style w:type="character" w:styleId="Hyperlink">
    <w:name w:val="Hyperlink"/>
    <w:basedOn w:val="DefaultParagraphFont"/>
    <w:uiPriority w:val="99"/>
    <w:unhideWhenUsed/>
    <w:rsid w:val="0000404F"/>
    <w:rPr>
      <w:color w:val="0000FF" w:themeColor="hyperlink"/>
      <w:u w:val="single"/>
    </w:rPr>
  </w:style>
  <w:style w:type="character" w:styleId="UnresolvedMention">
    <w:name w:val="Unresolved Mention"/>
    <w:basedOn w:val="DefaultParagraphFont"/>
    <w:uiPriority w:val="99"/>
    <w:semiHidden/>
    <w:unhideWhenUsed/>
    <w:rsid w:val="0000404F"/>
    <w:rPr>
      <w:color w:val="605E5C"/>
      <w:shd w:val="clear" w:color="auto" w:fill="E1DFDD"/>
    </w:rPr>
  </w:style>
  <w:style w:type="character" w:styleId="FollowedHyperlink">
    <w:name w:val="FollowedHyperlink"/>
    <w:basedOn w:val="DefaultParagraphFont"/>
    <w:uiPriority w:val="99"/>
    <w:semiHidden/>
    <w:unhideWhenUsed/>
    <w:rsid w:val="0000404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oker.senate.gov/news/press/senators-booker-and-blumenthal-introduce-college-athletes-bill-of-rights" TargetMode="External"/><Relationship Id="rId13" Type="http://schemas.openxmlformats.org/officeDocument/2006/relationships/hyperlink" Target="https://www.murphy.senate.gov/imo/media/doc/CARO%20Fact%20Sheet_final_final.pdf" TargetMode="External"/><Relationship Id="rId3" Type="http://schemas.openxmlformats.org/officeDocument/2006/relationships/styles" Target="styles.xml"/><Relationship Id="rId7" Type="http://schemas.openxmlformats.org/officeDocument/2006/relationships/hyperlink" Target="https://www.supremecourt.gov/opinions/20pdf/20-512_gfbh.pdf" TargetMode="External"/><Relationship Id="rId12" Type="http://schemas.openxmlformats.org/officeDocument/2006/relationships/hyperlink" Target="https://www.murphy.senate.gov/newsroom/press-releases/murphy-trahan-introduce-legislation-to-allow-college-athletes-to-make-money-off-their-name-image-and-liken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booker.senate.gov/news/press/senators-booker-and-blumenthal-introduce-college-athletes-bill-of-righ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urphy.senate.gov/imo/media/doc/CARO%20Fact%20Sheet_final_final.pdf" TargetMode="External"/><Relationship Id="rId4" Type="http://schemas.openxmlformats.org/officeDocument/2006/relationships/settings" Target="settings.xml"/><Relationship Id="rId9" Type="http://schemas.openxmlformats.org/officeDocument/2006/relationships/hyperlink" Target="https://www.murphy.senate.gov/newsroom/press-releases/murphy-trahan-introduce-legislation-to-allow-college-athletes-to-make-money-off-their-name-image-and-likeness" TargetMode="External"/><Relationship Id="rId14" Type="http://schemas.openxmlformats.org/officeDocument/2006/relationships/hyperlink" Target="mailto:sse.leg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TWQYAf8rdQVtuQaWC5+0I3kJ9w==">AMUW2mW2utpZfsxqEOCUq9rTt7ToDaCkwYtfLt09mSSkqMWdPAdAAnLu64VQZkHrLeOcdR3fTcRU5ihnSEhnKkyg7uINZjJcdx89EPCadckidmATqhAXZD3ef4dOM3v/iWy1hi/o5Hu0a+vliwsMV7n01ucQBYspfcYCEK1zdxn1WfmrG4L7gbLnJA4wTWPWrNzselp85bLXXDxuJ9N8dRmhHv376keb2ZRGL/hKWz41ubsD4ykZh9Auwv4qyl43gDenUgTc4Kez0VReVE05SrioOZZHM1cOMd653iExuGRlnhroQTFuMX/RUhPbAlU9bxK+aFXOIXfr0Qg/BRDHf7Wj1RJhm4TN4V2MtwDAkYMNu9NEDArMLAjmMcvqYzGEZqXogDFqOqhJD2zQdgZhCRQ1PEb1uOk1nniMnZBDIkb0XqXeK5Ujd7P18f7GnBnc/IsicSYSI7dedd8XuupyLPdGjVFnUxzWjTUGfHjC61LyN+Q51vS/y6YxtRkg5PqRPYqwH+dAiZDIPCb33+rGqkgROAEWfk5PewK5Cw4DWJzoOfiFsyhSlN40FiPEaJOwzn/vyaMMFnzCJsHfgjinmeX5Jo2W6QsDHwLKWY9LcQhe1fWUyfO8N50SPaVvHrbyTJRgobYi4JB743ZwWWTjrpoMdFnWJYaB6mhmlX4OanOn8ngX/MStYKVQ95Q9UjHp+bnCoOA66YzRCzSrfsRCx88qsxuRy1XHQmoOEiGSOKpLRHWKWAxG+9OtKjMYhvwZ48QzXwWA8S+AHkPyTibuXmEa9SKnRAlQ/0DtkF+sQH8emB448z93Vsln+QPX/+EZv1JIRT66udAt1Vox2EuY3II4f2Yfn4B32UuxZv/41Zzk2ew5k3Gal2wR4FzFDEwnbnkpRCKbMeewqlG4n3kVgHgSewqkzf8ZmgavTuTpS6GX1NZnFHRbdmKfj1mDIQldA1lOvL+s7OKbxUQZnVnEf2sc8GJs4TiXBTwD6C06IkBTsdcS9To9ABovjlx2VBD5F1n2Sq/SAVDGSlxgd2V0HQaLlJVXtYKwkbiqxJTk3SAETz6Ur98r0Zw6hRgfxd2sHU41tyjrTbKmEmKX1f4R1MgB4W8zVOMv4f5aw4H2vzWMvXdwqvoXk5yuZ5czlbW4ebgtYhvEgJTK8mX8FFOqqweU5b89PoeBZlmsIs/raweYEvgc8xwP1IZbEgpemz8Z3HPAVBv1SYy+9tolRqJxvkWrrp7w2+KvbNsET9p0QFtRuOhlle4NR+5ysEvK74pPUsAILBKZoomMzlPjhKb0pUnypEvhyXKGJAm8jr9TWX1OnX1REek6hMx2LvXGpjYLA2zfaCVdNd95tV9HjtOIlYq8XHaorJ+Fuxcw0YAC9cMhPBTYfBMu8v3rg613GiGP4juY2Mi0etgJ02oSVvzEiSK/nW9tkn50R/S7SCN6oNhdvi0Pg9Dg7Ckm5nJWU5o31T34AzD5WhqvyzkLg2rT7cPfGSzI0PD+TpbN2s2s9zp39c7UDAr8Pim+KObkWk2kq7aJx7fYqF23oL5D5kOuTJdW1DkmktG1DD2fyJcPCPSFK8nNRxRxJoEgyyb3EpZCyrPaU7ZfFXzXelZZgis6JzvXekq0te8UgDrV4eulcqb8J4YEIPbfcovlB3Y4yHCmyomQjmxEkvIiKV3vWtqOUMTo3EDlW5df7mViIxBa/R+R7P+mG51bgN274U+KN5l8muw6tR73cyof6oXIz39DEiCm4C4EyIu7bsra755GFJZjNI1i448/Pj0q43TukobU1ZNXQTbZX0aWrAj/Y1YDqhsFqDhEqDK8W6zXsxQlepyRNoOJ07T9Qc2v6D6SKqKv7mbnKvZjRTMlwEtY66O2m6r7+7CZgEskXNsotjfysHcPbmh94Qx05EuXtUaVMEFjsUMTaTDJNt7YmBHJzT8tGExbBZkJnDUhcOyw3jKooAO9T/+o1Sz28xcZZPgq3M+gUJyndCeBByFZ8kcCT5u/Zg4Q8SydxJGQ5OohbfLSRtt1D/LizRejvpc2kKFcYqFXtelQ32JkJVJn2JLO2GIeiJiY15DlbPKeGxKV0OMTqAH18OEaYe/3nsYZZEnBDAtz24srqMgUjSCBkTyabKT95sV1TaLw/kSq4LdLeHNCt8Ek2g01sq+vWWmJ/G77VK30ajGmcOPbbGkooRzjIZLD1DZYwNGymsz3tCu+LKfaOZVGCct7uGHv5KWuCikiXc9w0ROidKXIJzBS2JXBW8rQsyq2k7GqFgVDLrFJfevEjnep8QcnA8jrpbKEvL70jCB6cJWKL1OE4GNqxjjU2EMe1m7OdpZvRYOrnfHx7scYd9jY+Q3hQef97bbdqRX3dlFvL334qVcJZIXfgWIkrQOF4jGQu5SzocKXUkD6MdUjPVA6bacf2D6JcFxYrr/ND3iV5yQej59qS7P8AFxu6Q8bU6xQ+Mlse2kg28IPDufN2WhTzfXZajuqcT3U7GlAax1OxDvd64pwJ9jF8jJDWwCABC759Oz3edmahnuFOnNpRerUnVGYbGLP2B3fo+TqRqAkKRUYenjfdscDsT9TGL1hyDdtTHalECNs0bwycSAg6jjju+q+Qa8dpmrOk3ig9323Fsj4p9g7Cv8QqrquT5M2o7wYzNKH7GNnpeoi6bjx08s/UjNRoIR4ljPhfFpF0k3WinlqnnVFzFN8TzvUgFYjyeJMWEBOsul/RCwii2BE/zb0PX0sf/3qKH9EDrnCpFZn1gluErHQCmowPR4KniUnGCSx9GCJk7loXWNMEXQjn1raCmJdQ4kR4B1PvATQ33SsRPNKcL6E1X044tQSTeEZyqoP58TkoY6oTMnOKa8l8QdPMtjtXh43cwln8myFrqRsaw7dTXatRwDXvs+C0sh1qYrANMLHzUg/HVDAk2BxI6xRqJAkS+GqKbPAhxxe8yTIZHymWiy1mQxZ72hMVub+co33GZXvdbeteGEa7wXEtSnDoXvPWPGQD3HDo9FkSOp1yqkivtMs4HmUGqiudY1RX4zpbKjuaOk4MwlxRlgGg1A0C5kdTuFBeaEN5UaTS2PTC+a1kFsNWlhCy9Pf+83We+HD6SPvInYCM2J2Z1ZYp+3jDbwdBN7pSlDUS8fMc0kA8e+qHBk+Eb1G2KUAxhkNThtZjlKRGlvbbglpN/oxZ0p3PkxgerTtwarVFvfcORf272+rfGpeI0yfIOkL/pfmdN7gFq2CHRvRNUdOSL3XSxqzIjWSib4F9iGl6872vp9l40F60mPs9I/CFalfSHrz8udu6VbnEOpFZDk/S4Frg/NUYH0rBRprfvYEsKIXCNqG2dCDgC2lR5bELLmduUni6sfx5xAh8Z1POgbPJfQrourxBOao/VVJr8F4RVZ39R7HOenWLubxOaLCoIai8bW4+AyWvmuAf3byNJpeNP4cg0r6mqkKixSmFRgOWuuRCazAhLX1Eg7j1BVgjSwXVlrUinVn4/IRIQ0dljZt6aKITHiRanSVkl5JagkzVtcIj6w6ShE61bGhJ+/jWa5TFchfagjRrPYUwJ0n0S4sENjZSWEZW1CAwiqFXrSiOeBVhW3f9CwLoApUCEmbrvdM7f+K1bO9h6eldK89HtQ+QICktLkVrMZLGlLTiPKFKaQXiI3hqc41YXbynmOgiNCLePLZ6Gn1eT8QLvp0DDFd5SJ/BpIfUGMI2pjpLmk1zcwcTxvxcn4Rf2aR5EMvLVeUVQZhwEdSGn7QizoSgkbNuLYdiYA0OI/d2P1QbgNvZha6BmdljFpRv1HKzeszbz0/TEHtMYHZTnQGFq6MSqJpIYJDTG1UjskjPKkCTs3AQGnhk1baDJMHk0DB9nFsboLvpmnc6HlVdaZ0kvc8vKh5exHsTR4jmLE5lNlNNgqorRqCWwt4n6a2dqHoYjo2vlTAje+WRmlEgj/tvk0ll0oKZKhZGZIwlXemg9IyhZsPiWfT9XWzkoPd8oupUNih95yq9Ci0yDGz5Ynhvg0NkOGB9/hKNWY/V5WMMyJolRTSdNGwIWbNIvqu2XAtNh0Jcnt6277M6ZJg2C4hiCQU4FM+N7TVUCS7GwI4SuzfsAvcAx9bkdvVJ3hMEWz4J7nnzNExcvHt94N1R78/IYv/Xph7B/8ldSvbMNHbBDJ8Tb5nEfbPT/4elJvJnrWXWTn1rEknrawmnhGZg+qapHL/bA8j9rYOosbCR3/GII18U6pAZrB8uG6wfnBAjZznbs4FLIBuNad8SqeBTNvdfyOoDYJ49Uijrvd9zcwZTsSumOQI3+b6m+pawHuPyCCgbtDMikSoGSLnMqvQM9acZ0bV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Ge</cp:lastModifiedBy>
  <cp:revision>4</cp:revision>
  <dcterms:created xsi:type="dcterms:W3CDTF">2022-02-22T14:26:00Z</dcterms:created>
  <dcterms:modified xsi:type="dcterms:W3CDTF">2022-03-09T03:22:00Z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Creator">
    <vt:lpwstr>Microsoft Word</vt:lpwstr>
  </property>
  <property fmtid="{D5CDD505-2E9C-101B-9397-08002B2CF9AE}" pid="4" name="LastSaved">
    <vt:filetime>2022-02-22T00:00:00Z</vt:filetime>
  </property>
</Properties>
</file>